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2ED6A0">
      <w:pPr>
        <w:jc w:val="center"/>
        <w:rPr>
          <w:b/>
          <w:color w:val="auto"/>
          <w:sz w:val="32"/>
          <w:szCs w:val="32"/>
          <w:highlight w:val="none"/>
        </w:rPr>
      </w:pPr>
    </w:p>
    <w:p w14:paraId="0102312B">
      <w:pPr>
        <w:jc w:val="center"/>
        <w:rPr>
          <w:b/>
          <w:color w:val="auto"/>
          <w:sz w:val="36"/>
          <w:szCs w:val="36"/>
          <w:highlight w:val="none"/>
        </w:rPr>
      </w:pPr>
    </w:p>
    <w:p w14:paraId="7C3CE3AB">
      <w:pPr>
        <w:jc w:val="center"/>
        <w:rPr>
          <w:b/>
          <w:color w:val="auto"/>
          <w:sz w:val="36"/>
          <w:szCs w:val="36"/>
          <w:highlight w:val="none"/>
        </w:rPr>
      </w:pPr>
    </w:p>
    <w:p w14:paraId="259E2AC9">
      <w:pPr>
        <w:pStyle w:val="25"/>
        <w:spacing w:line="240" w:lineRule="auto"/>
        <w:ind w:firstLine="0"/>
        <w:jc w:val="center"/>
        <w:outlineLvl w:val="9"/>
        <w:rPr>
          <w:rFonts w:ascii="方正小标宋简体" w:eastAsia="方正小标宋简体"/>
          <w:bCs/>
          <w:color w:val="auto"/>
          <w:sz w:val="52"/>
          <w:szCs w:val="52"/>
          <w:highlight w:val="none"/>
        </w:rPr>
      </w:pPr>
      <w:r>
        <w:rPr>
          <w:rFonts w:hint="eastAsia" w:ascii="方正小标宋简体" w:eastAsia="方正小标宋简体"/>
          <w:bCs/>
          <w:color w:val="auto"/>
          <w:sz w:val="52"/>
          <w:szCs w:val="52"/>
          <w:highlight w:val="none"/>
        </w:rPr>
        <w:t>如皋市政府采购竞争性磋商文件</w:t>
      </w:r>
    </w:p>
    <w:p w14:paraId="5FC32100">
      <w:pPr>
        <w:pStyle w:val="25"/>
        <w:spacing w:line="240" w:lineRule="auto"/>
        <w:ind w:left="0" w:leftChars="0" w:firstLine="0" w:firstLineChars="0"/>
        <w:rPr>
          <w:b/>
          <w:bCs/>
          <w:color w:val="auto"/>
          <w:sz w:val="32"/>
          <w:highlight w:val="none"/>
        </w:rPr>
      </w:pPr>
    </w:p>
    <w:p w14:paraId="1682AAA4">
      <w:pPr>
        <w:pStyle w:val="25"/>
        <w:spacing w:line="240" w:lineRule="auto"/>
        <w:ind w:left="0" w:leftChars="0" w:firstLine="0" w:firstLineChars="0"/>
        <w:rPr>
          <w:b/>
          <w:bCs/>
          <w:color w:val="auto"/>
          <w:sz w:val="32"/>
          <w:highlight w:val="none"/>
        </w:rPr>
      </w:pPr>
    </w:p>
    <w:p w14:paraId="1C709661">
      <w:pPr>
        <w:pStyle w:val="25"/>
        <w:spacing w:line="240" w:lineRule="auto"/>
        <w:ind w:left="0" w:leftChars="0" w:firstLine="0" w:firstLineChars="0"/>
        <w:jc w:val="center"/>
        <w:rPr>
          <w:rFonts w:hint="eastAsia"/>
          <w:b/>
          <w:bCs/>
          <w:color w:val="auto"/>
          <w:sz w:val="32"/>
          <w:highlight w:val="none"/>
          <w:lang w:val="en-US" w:eastAsia="zh-CN"/>
        </w:rPr>
      </w:pPr>
      <w:r>
        <w:rPr>
          <w:b/>
          <w:bCs/>
          <w:color w:val="auto"/>
          <w:sz w:val="32"/>
          <w:highlight w:val="none"/>
        </w:rPr>
        <w:t>项目名称：</w:t>
      </w:r>
      <w:r>
        <w:rPr>
          <w:rFonts w:hint="eastAsia"/>
          <w:b/>
          <w:bCs/>
          <w:color w:val="auto"/>
          <w:sz w:val="32"/>
          <w:highlight w:val="none"/>
          <w:lang w:val="en-US" w:eastAsia="zh-CN"/>
        </w:rPr>
        <w:t>东陈镇2026年生</w:t>
      </w:r>
      <w:bookmarkStart w:id="77" w:name="_GoBack"/>
      <w:bookmarkEnd w:id="77"/>
      <w:r>
        <w:rPr>
          <w:rFonts w:hint="eastAsia"/>
          <w:b/>
          <w:bCs/>
          <w:color w:val="auto"/>
          <w:sz w:val="32"/>
          <w:highlight w:val="none"/>
          <w:lang w:val="en-US" w:eastAsia="zh-CN"/>
        </w:rPr>
        <w:t>活垃圾转送服务</w:t>
      </w:r>
    </w:p>
    <w:p w14:paraId="4A3FD464">
      <w:pPr>
        <w:pStyle w:val="25"/>
        <w:spacing w:line="240" w:lineRule="auto"/>
        <w:ind w:left="0" w:leftChars="0" w:firstLine="0" w:firstLineChars="0"/>
        <w:jc w:val="center"/>
        <w:rPr>
          <w:rFonts w:hint="default" w:eastAsia="宋体"/>
          <w:b/>
          <w:bCs/>
          <w:color w:val="auto"/>
          <w:sz w:val="32"/>
          <w:highlight w:val="none"/>
          <w:u w:val="single"/>
          <w:lang w:val="en-US" w:eastAsia="zh-CN"/>
        </w:rPr>
      </w:pPr>
      <w:r>
        <w:rPr>
          <w:rFonts w:hint="eastAsia"/>
          <w:b/>
          <w:bCs/>
          <w:color w:val="auto"/>
          <w:sz w:val="32"/>
          <w:highlight w:val="none"/>
        </w:rPr>
        <w:t>项目编号：</w:t>
      </w:r>
      <w:r>
        <w:rPr>
          <w:rFonts w:hint="eastAsia"/>
          <w:b/>
          <w:bCs/>
          <w:color w:val="auto"/>
          <w:sz w:val="32"/>
          <w:highlight w:val="none"/>
          <w:lang w:val="en-US" w:eastAsia="zh-CN"/>
        </w:rPr>
        <w:t>JSZC-320682-NTZJ-C2026-0005</w:t>
      </w:r>
    </w:p>
    <w:p w14:paraId="2B32111A">
      <w:pPr>
        <w:pStyle w:val="25"/>
        <w:spacing w:line="240" w:lineRule="auto"/>
        <w:ind w:firstLine="0"/>
        <w:jc w:val="center"/>
        <w:rPr>
          <w:b/>
          <w:bCs/>
          <w:color w:val="auto"/>
          <w:sz w:val="32"/>
          <w:highlight w:val="none"/>
        </w:rPr>
      </w:pPr>
    </w:p>
    <w:p w14:paraId="53377883">
      <w:pPr>
        <w:pStyle w:val="25"/>
        <w:spacing w:line="240" w:lineRule="auto"/>
        <w:ind w:firstLine="0"/>
        <w:jc w:val="center"/>
        <w:rPr>
          <w:b/>
          <w:bCs/>
          <w:color w:val="auto"/>
          <w:sz w:val="32"/>
          <w:highlight w:val="none"/>
        </w:rPr>
      </w:pPr>
    </w:p>
    <w:p w14:paraId="38182432">
      <w:pPr>
        <w:pStyle w:val="25"/>
        <w:spacing w:line="240" w:lineRule="auto"/>
        <w:ind w:firstLine="0"/>
        <w:jc w:val="center"/>
        <w:rPr>
          <w:b/>
          <w:bCs/>
          <w:color w:val="auto"/>
          <w:sz w:val="32"/>
          <w:highlight w:val="none"/>
        </w:rPr>
      </w:pPr>
    </w:p>
    <w:p w14:paraId="63189DA7">
      <w:pPr>
        <w:pStyle w:val="25"/>
        <w:spacing w:line="240" w:lineRule="auto"/>
        <w:ind w:firstLine="0"/>
        <w:jc w:val="center"/>
        <w:rPr>
          <w:b/>
          <w:bCs/>
          <w:color w:val="auto"/>
          <w:sz w:val="32"/>
          <w:highlight w:val="none"/>
        </w:rPr>
      </w:pPr>
    </w:p>
    <w:p w14:paraId="1F119A74">
      <w:pPr>
        <w:pStyle w:val="25"/>
        <w:spacing w:line="240" w:lineRule="auto"/>
        <w:ind w:firstLine="851" w:firstLineChars="265"/>
        <w:rPr>
          <w:rFonts w:hint="default" w:eastAsia="宋体"/>
          <w:b/>
          <w:bCs/>
          <w:color w:val="auto"/>
          <w:sz w:val="32"/>
          <w:highlight w:val="none"/>
          <w:u w:val="single"/>
          <w:lang w:val="en-US" w:eastAsia="zh-CN"/>
        </w:rPr>
      </w:pPr>
      <w:r>
        <w:rPr>
          <w:rFonts w:hint="eastAsia"/>
          <w:b/>
          <w:bCs/>
          <w:color w:val="auto"/>
          <w:sz w:val="32"/>
          <w:highlight w:val="none"/>
        </w:rPr>
        <w:t>采购人名称：</w:t>
      </w:r>
      <w:r>
        <w:rPr>
          <w:rFonts w:hint="eastAsia"/>
          <w:b/>
          <w:bCs/>
          <w:color w:val="auto"/>
          <w:sz w:val="32"/>
          <w:highlight w:val="none"/>
          <w:lang w:val="en-US" w:eastAsia="zh-CN"/>
        </w:rPr>
        <w:t>如皋市东陈镇人民政府</w:t>
      </w:r>
    </w:p>
    <w:p w14:paraId="368B1BCB">
      <w:pPr>
        <w:pStyle w:val="25"/>
        <w:spacing w:line="240" w:lineRule="auto"/>
        <w:ind w:firstLine="851" w:firstLineChars="265"/>
        <w:rPr>
          <w:rFonts w:hint="eastAsia" w:eastAsia="宋体"/>
          <w:b/>
          <w:bCs/>
          <w:color w:val="auto"/>
          <w:sz w:val="32"/>
          <w:highlight w:val="none"/>
          <w:u w:val="single"/>
          <w:lang w:val="en-US" w:eastAsia="zh-CN"/>
        </w:rPr>
      </w:pPr>
      <w:r>
        <w:rPr>
          <w:rFonts w:hint="eastAsia"/>
          <w:b/>
          <w:bCs/>
          <w:color w:val="auto"/>
          <w:sz w:val="32"/>
          <w:highlight w:val="none"/>
        </w:rPr>
        <w:t>采购代理机构名称：</w:t>
      </w:r>
      <w:r>
        <w:rPr>
          <w:rFonts w:hint="eastAsia"/>
          <w:b/>
          <w:bCs/>
          <w:color w:val="auto"/>
          <w:sz w:val="32"/>
          <w:highlight w:val="none"/>
          <w:lang w:val="en-US" w:eastAsia="zh-CN"/>
        </w:rPr>
        <w:t>南通中江工程项目管理有限公司</w:t>
      </w:r>
    </w:p>
    <w:p w14:paraId="76447DC5">
      <w:pPr>
        <w:pStyle w:val="25"/>
        <w:spacing w:line="240" w:lineRule="auto"/>
        <w:ind w:firstLine="0"/>
        <w:jc w:val="center"/>
        <w:rPr>
          <w:rFonts w:hint="eastAsia" w:ascii="方正小标宋简体" w:eastAsia="方正小标宋简体" w:cs="Times New Roman"/>
          <w:bCs/>
          <w:color w:val="auto"/>
          <w:sz w:val="32"/>
          <w:szCs w:val="32"/>
          <w:highlight w:val="none"/>
          <w:lang w:val="en-US" w:eastAsia="zh-CN"/>
        </w:rPr>
      </w:pPr>
      <w:r>
        <w:rPr>
          <w:rFonts w:hint="eastAsia"/>
          <w:b/>
          <w:bCs/>
          <w:color w:val="auto"/>
          <w:sz w:val="32"/>
          <w:highlight w:val="none"/>
          <w:lang w:val="en-US" w:eastAsia="zh-CN"/>
        </w:rPr>
        <w:t>2026</w:t>
      </w:r>
      <w:r>
        <w:rPr>
          <w:rFonts w:hint="eastAsia"/>
          <w:b/>
          <w:bCs/>
          <w:color w:val="auto"/>
          <w:sz w:val="32"/>
          <w:highlight w:val="none"/>
        </w:rPr>
        <w:t>年</w:t>
      </w:r>
      <w:r>
        <w:rPr>
          <w:rFonts w:hint="eastAsia"/>
          <w:b/>
          <w:bCs/>
          <w:color w:val="auto"/>
          <w:sz w:val="32"/>
          <w:highlight w:val="none"/>
          <w:lang w:val="en-US" w:eastAsia="zh-CN"/>
        </w:rPr>
        <w:t>06</w:t>
      </w:r>
      <w:r>
        <w:rPr>
          <w:rFonts w:hint="eastAsia"/>
          <w:b/>
          <w:bCs/>
          <w:color w:val="auto"/>
          <w:sz w:val="32"/>
          <w:highlight w:val="none"/>
        </w:rPr>
        <w:t>月</w:t>
      </w:r>
      <w:r>
        <w:rPr>
          <w:rFonts w:hint="eastAsia"/>
          <w:b/>
          <w:bCs/>
          <w:color w:val="auto"/>
          <w:sz w:val="32"/>
          <w:highlight w:val="none"/>
          <w:lang w:val="en-US" w:eastAsia="zh-CN"/>
        </w:rPr>
        <w:t>01</w:t>
      </w:r>
      <w:r>
        <w:rPr>
          <w:rFonts w:hint="eastAsia"/>
          <w:b/>
          <w:bCs/>
          <w:color w:val="auto"/>
          <w:sz w:val="32"/>
          <w:highlight w:val="none"/>
        </w:rPr>
        <w:t>日</w:t>
      </w:r>
      <w:r>
        <w:rPr>
          <w:b/>
          <w:bCs/>
          <w:color w:val="auto"/>
          <w:sz w:val="32"/>
          <w:highlight w:val="none"/>
        </w:rPr>
        <w:br w:type="page"/>
      </w:r>
      <w:r>
        <w:rPr>
          <w:rFonts w:hint="eastAsia" w:ascii="方正小标宋简体" w:eastAsia="方正小标宋简体" w:cs="Times New Roman"/>
          <w:bCs/>
          <w:color w:val="auto"/>
          <w:sz w:val="32"/>
          <w:szCs w:val="32"/>
          <w:highlight w:val="none"/>
          <w:lang w:val="en-US" w:eastAsia="zh-CN"/>
        </w:rPr>
        <w:t>目   录</w:t>
      </w:r>
    </w:p>
    <w:p w14:paraId="780421DA">
      <w:pPr>
        <w:pStyle w:val="10"/>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TOC \o "1-2" \h \u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_Toc10695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第1章 竞争性磋商公告</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_Toc10695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77CC02CD">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_Toc970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一、项目基本情况</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_Toc970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6EBFB2A1">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_Toc12736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二、响应人的资格要求：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_Toc12736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4DE25C27">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_Toc6227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三、获取竞争性磋商文件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_Toc6227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54B1FF3F">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_Toc26090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四、竞争性磋商响应文件提交和开启</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_Toc26090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02E00046">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_Toc16672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五、公告期限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_Toc16672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63E29D4B">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_Toc19385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六、其他补充事宜</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_Toc19385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3089F7F9">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_Toc24238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七、凡对本次采购提出询问，请按以下方式联系。</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_Toc24238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556B7296">
      <w:pPr>
        <w:pStyle w:val="10"/>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_Toc14146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第2章 磋商须知</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_Toc14146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36641542">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_Toc15387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1. 参加磋商费用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_Toc15387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4436D052">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_Toc30979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2. 磋商文件的约束力</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_Toc30979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468F3A79">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_Toc14943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3.响应文件编制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_Toc14943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10DD730C">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_Toc16063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4.响应文件提交、撤回和修改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_Toc16063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6F9FC429">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_Toc1591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5. 磋商</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_Toc1591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65FC07D7">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_Toc26679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6.成交和合同</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_Toc26679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9</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732897A9">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_Toc13935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7.政府采购政策功能落实</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_Toc13935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10</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378B984F">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_Toc22228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8.无效响应和磋商活动终止</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_Toc22228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18</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4A766F41">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_Toc23916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9. 询问、质疑和投诉</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_Toc23916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19</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465BB19B">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_Toc14206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10. 政府采购合同信用融资扶持政策</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_Toc14206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24</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3348EB0E">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_Toc12330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11. 采购代理服务费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_Toc12330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24</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16174ECD">
      <w:pPr>
        <w:pStyle w:val="10"/>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_Toc43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第3章 采购需求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_Toc43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565C52ED">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_Toc13836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一、项目简介</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_Toc13836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1CE159E5">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_Toc26350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二、采购内容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_Toc26350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6C9C526D">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_Toc20517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lang w:val="en-US" w:eastAsia="zh-CN"/>
        </w:rPr>
        <w:t>三、</w:t>
      </w:r>
      <w:r>
        <w:rPr>
          <w:rFonts w:hint="eastAsia" w:ascii="黑体" w:hAnsi="黑体" w:eastAsia="黑体" w:cs="黑体"/>
          <w:color w:val="auto"/>
          <w:sz w:val="24"/>
          <w:szCs w:val="24"/>
          <w:highlight w:val="none"/>
        </w:rPr>
        <w:t>服务要求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_Toc20517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29</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4C08E84D">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_Toc1687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四、服务标准</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_Toc1687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34B28E40">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_Toc7150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五、服务期限和地点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_Toc7150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03FD3A2F">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_Toc17687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六、考核方案</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_Toc17687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36A8CEF4">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_Toc5248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lang w:val="en-US" w:eastAsia="zh-CN"/>
        </w:rPr>
        <w:t>七、</w:t>
      </w:r>
      <w:r>
        <w:rPr>
          <w:rFonts w:hint="eastAsia" w:ascii="黑体" w:hAnsi="黑体" w:eastAsia="黑体" w:cs="黑体"/>
          <w:color w:val="auto"/>
          <w:sz w:val="24"/>
          <w:szCs w:val="24"/>
          <w:highlight w:val="none"/>
        </w:rPr>
        <w:t>付款方式</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_Toc5248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37</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3F6ABF56">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_Toc29258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lang w:val="en-US" w:eastAsia="zh-CN"/>
        </w:rPr>
        <w:t>八、</w:t>
      </w:r>
      <w:r>
        <w:rPr>
          <w:rFonts w:hint="eastAsia" w:ascii="黑体" w:hAnsi="黑体" w:eastAsia="黑体" w:cs="黑体"/>
          <w:color w:val="auto"/>
          <w:sz w:val="24"/>
          <w:szCs w:val="24"/>
          <w:highlight w:val="none"/>
        </w:rPr>
        <w:t>磋商过程中可能会实质性变动的内容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_Toc29258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37</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0D248A47">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_Toc11980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lang w:val="en-US" w:eastAsia="zh-CN"/>
        </w:rPr>
        <w:t>九、报价要求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_Toc11980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37</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64B0B5B4">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_Toc2520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lang w:val="en-US" w:eastAsia="zh-CN"/>
        </w:rPr>
        <w:t>十、其他要求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_Toc2520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38</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09073F10">
      <w:pPr>
        <w:pStyle w:val="10"/>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_Toc20585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第4章 合同文本</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_Toc20585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39</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27A2EED8">
      <w:pPr>
        <w:pStyle w:val="10"/>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_Toc6472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第5章 评审标准和方法</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_Toc6472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46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19675984">
      <w:pPr>
        <w:pStyle w:val="10"/>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_Toc15850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第6章 竞争性磋商响应文件组成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_Toc15850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51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7D59E172">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_Toc4984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一、资格证明文件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_Toc4984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52</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60AE1998">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_Toc17633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二、商务技术文件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_Toc17633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61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047A4C23">
      <w:pPr>
        <w:pStyle w:val="12"/>
        <w:keepNext w:val="0"/>
        <w:keepLines w:val="0"/>
        <w:pageBreakBefore w:val="0"/>
        <w:widowControl w:val="0"/>
        <w:tabs>
          <w:tab w:val="right" w:leader="dot" w:pos="9354"/>
        </w:tabs>
        <w:kinsoku/>
        <w:wordWrap/>
        <w:overflowPunct/>
        <w:topLinePunct w:val="0"/>
        <w:autoSpaceDE/>
        <w:autoSpaceDN/>
        <w:bidi w:val="0"/>
        <w:snapToGrid/>
        <w:spacing w:line="500" w:lineRule="exact"/>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_Toc25883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三、报价文件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_Toc25883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66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p>
    <w:p w14:paraId="21862894">
      <w:pPr>
        <w:pStyle w:val="25"/>
        <w:keepNext w:val="0"/>
        <w:keepLines w:val="0"/>
        <w:pageBreakBefore w:val="0"/>
        <w:widowControl w:val="0"/>
        <w:kinsoku/>
        <w:wordWrap/>
        <w:overflowPunct/>
        <w:topLinePunct w:val="0"/>
        <w:autoSpaceDE/>
        <w:autoSpaceDN/>
        <w:bidi w:val="0"/>
        <w:snapToGrid/>
        <w:spacing w:line="500" w:lineRule="exact"/>
        <w:ind w:firstLine="0"/>
        <w:jc w:val="center"/>
        <w:rPr>
          <w:rFonts w:hint="eastAsia" w:ascii="黑体" w:hAnsi="黑体" w:eastAsia="黑体" w:cs="黑体"/>
          <w:bCs/>
          <w:color w:val="auto"/>
          <w:sz w:val="24"/>
          <w:szCs w:val="24"/>
          <w:highlight w:val="none"/>
          <w:lang w:val="en-US" w:eastAsia="zh-CN"/>
        </w:rPr>
        <w:sectPr>
          <w:headerReference r:id="rId3" w:type="default"/>
          <w:footerReference r:id="rId4" w:type="even"/>
          <w:pgSz w:w="11906" w:h="16838"/>
          <w:pgMar w:top="1418" w:right="1134" w:bottom="1134" w:left="1418" w:header="851" w:footer="992" w:gutter="0"/>
          <w:cols w:space="720" w:num="1"/>
          <w:docGrid w:type="lines" w:linePitch="312" w:charSpace="0"/>
        </w:sectPr>
      </w:pPr>
      <w:r>
        <w:rPr>
          <w:rFonts w:hint="eastAsia" w:ascii="黑体" w:hAnsi="黑体" w:eastAsia="黑体" w:cs="黑体"/>
          <w:bCs/>
          <w:color w:val="auto"/>
          <w:sz w:val="24"/>
          <w:szCs w:val="24"/>
          <w:highlight w:val="none"/>
          <w:lang w:val="en-US" w:eastAsia="zh-CN"/>
        </w:rPr>
        <w:fldChar w:fldCharType="end"/>
      </w:r>
    </w:p>
    <w:p w14:paraId="0ABF5625">
      <w:pPr>
        <w:pStyle w:val="25"/>
        <w:spacing w:line="240" w:lineRule="auto"/>
        <w:ind w:firstLine="0"/>
        <w:jc w:val="center"/>
        <w:outlineLvl w:val="0"/>
        <w:rPr>
          <w:rFonts w:ascii="方正小标宋简体" w:eastAsia="方正小标宋简体"/>
          <w:bCs/>
          <w:color w:val="auto"/>
          <w:sz w:val="32"/>
          <w:szCs w:val="32"/>
          <w:highlight w:val="none"/>
        </w:rPr>
      </w:pPr>
      <w:bookmarkStart w:id="0" w:name="_Toc10695"/>
      <w:r>
        <w:rPr>
          <w:rFonts w:hint="eastAsia" w:ascii="方正小标宋简体" w:eastAsia="方正小标宋简体"/>
          <w:bCs/>
          <w:color w:val="auto"/>
          <w:sz w:val="32"/>
          <w:szCs w:val="32"/>
          <w:highlight w:val="none"/>
        </w:rPr>
        <w:t>第1章 竞争性磋商公告</w:t>
      </w:r>
      <w:bookmarkEnd w:id="0"/>
    </w:p>
    <w:p w14:paraId="16679290">
      <w:pPr>
        <w:pStyle w:val="6"/>
        <w:spacing w:after="0" w:line="500" w:lineRule="exact"/>
        <w:ind w:firstLine="560" w:firstLineChars="200"/>
        <w:outlineLvl w:val="1"/>
        <w:rPr>
          <w:rFonts w:ascii="黑体" w:hAnsi="黑体" w:eastAsia="黑体"/>
          <w:color w:val="auto"/>
          <w:sz w:val="28"/>
          <w:szCs w:val="28"/>
          <w:highlight w:val="none"/>
        </w:rPr>
      </w:pPr>
      <w:bookmarkStart w:id="1" w:name="_Toc35393798"/>
      <w:bookmarkStart w:id="2" w:name="_Toc970"/>
      <w:bookmarkStart w:id="3" w:name="_Toc28359012"/>
      <w:bookmarkStart w:id="4" w:name="_Toc28359089"/>
      <w:bookmarkStart w:id="5" w:name="_Toc35393629"/>
      <w:bookmarkStart w:id="6" w:name="OLE_LINK2"/>
      <w:r>
        <w:rPr>
          <w:rFonts w:hint="eastAsia" w:ascii="黑体" w:hAnsi="黑体" w:eastAsia="黑体"/>
          <w:color w:val="auto"/>
          <w:sz w:val="28"/>
          <w:szCs w:val="28"/>
          <w:highlight w:val="none"/>
        </w:rPr>
        <w:t>一、项目基本情况</w:t>
      </w:r>
      <w:bookmarkEnd w:id="1"/>
      <w:bookmarkEnd w:id="2"/>
      <w:bookmarkEnd w:id="3"/>
      <w:bookmarkEnd w:id="4"/>
      <w:bookmarkEnd w:id="5"/>
    </w:p>
    <w:p w14:paraId="3D78F180">
      <w:pPr>
        <w:spacing w:line="500" w:lineRule="exact"/>
        <w:ind w:firstLine="560" w:firstLineChars="20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1.项目名称：</w:t>
      </w:r>
      <w:r>
        <w:rPr>
          <w:rFonts w:hint="eastAsia" w:ascii="仿宋" w:hAnsi="仿宋" w:eastAsia="仿宋"/>
          <w:color w:val="auto"/>
          <w:sz w:val="28"/>
          <w:szCs w:val="28"/>
          <w:highlight w:val="none"/>
          <w:lang w:val="en-US" w:eastAsia="zh-CN"/>
        </w:rPr>
        <w:t>东陈镇2026年生活垃圾转送服务</w:t>
      </w:r>
    </w:p>
    <w:p w14:paraId="0248F31A">
      <w:pPr>
        <w:spacing w:line="500" w:lineRule="exact"/>
        <w:ind w:firstLine="560" w:firstLineChars="200"/>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2.项目编号：</w:t>
      </w:r>
      <w:r>
        <w:rPr>
          <w:rFonts w:hint="eastAsia" w:ascii="仿宋" w:hAnsi="仿宋" w:eastAsia="仿宋"/>
          <w:color w:val="auto"/>
          <w:sz w:val="28"/>
          <w:szCs w:val="28"/>
          <w:highlight w:val="none"/>
          <w:lang w:val="en-US" w:eastAsia="zh-CN"/>
        </w:rPr>
        <w:t>JSZC-320682-NTZJ-C2026-0005</w:t>
      </w:r>
    </w:p>
    <w:p w14:paraId="5C2518C3">
      <w:pPr>
        <w:spacing w:line="500" w:lineRule="exact"/>
        <w:ind w:firstLine="560" w:firstLineChars="200"/>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3.预算金额：</w:t>
      </w:r>
      <w:r>
        <w:rPr>
          <w:rFonts w:hint="eastAsia" w:ascii="仿宋" w:hAnsi="仿宋" w:eastAsia="仿宋"/>
          <w:color w:val="auto"/>
          <w:sz w:val="28"/>
          <w:szCs w:val="28"/>
          <w:highlight w:val="none"/>
          <w:lang w:val="en-US" w:eastAsia="zh-CN"/>
        </w:rPr>
        <w:t>人民币309.40万元</w:t>
      </w:r>
    </w:p>
    <w:p w14:paraId="00E31C2A">
      <w:pPr>
        <w:spacing w:line="500" w:lineRule="exact"/>
        <w:ind w:firstLine="560" w:firstLineChars="200"/>
        <w:rPr>
          <w:rFonts w:hint="default" w:ascii="仿宋" w:hAnsi="仿宋" w:eastAsia="仿宋"/>
          <w:color w:val="auto"/>
          <w:sz w:val="28"/>
          <w:szCs w:val="28"/>
          <w:highlight w:val="none"/>
          <w:lang w:val="en-US"/>
        </w:rPr>
      </w:pPr>
      <w:r>
        <w:rPr>
          <w:rFonts w:hint="eastAsia" w:ascii="仿宋" w:hAnsi="仿宋" w:eastAsia="仿宋"/>
          <w:color w:val="auto"/>
          <w:sz w:val="28"/>
          <w:szCs w:val="28"/>
          <w:highlight w:val="none"/>
        </w:rPr>
        <w:t>4.最高限价：</w:t>
      </w:r>
      <w:r>
        <w:rPr>
          <w:rFonts w:hint="eastAsia" w:ascii="仿宋" w:hAnsi="仿宋" w:eastAsia="仿宋"/>
          <w:color w:val="auto"/>
          <w:sz w:val="28"/>
          <w:szCs w:val="28"/>
          <w:highlight w:val="none"/>
          <w:lang w:val="en-US" w:eastAsia="zh-CN"/>
        </w:rPr>
        <w:t>人民币309.40万元/年，其中垃圾清运154.70元/吨，报价超过最高限价视为无效响应。</w:t>
      </w:r>
    </w:p>
    <w:p w14:paraId="4A5550A3">
      <w:pPr>
        <w:spacing w:line="500" w:lineRule="exact"/>
        <w:ind w:firstLine="560" w:firstLineChars="200"/>
        <w:rPr>
          <w:rFonts w:ascii="仿宋" w:hAnsi="仿宋" w:eastAsia="仿宋"/>
          <w:color w:val="auto"/>
          <w:sz w:val="28"/>
          <w:szCs w:val="28"/>
          <w:highlight w:val="none"/>
          <w:u w:val="single"/>
        </w:rPr>
      </w:pPr>
      <w:r>
        <w:rPr>
          <w:rFonts w:hint="eastAsia" w:ascii="仿宋" w:hAnsi="仿宋" w:eastAsia="仿宋"/>
          <w:color w:val="auto"/>
          <w:sz w:val="28"/>
          <w:szCs w:val="28"/>
          <w:highlight w:val="none"/>
        </w:rPr>
        <w:t>5.采购需求：</w:t>
      </w:r>
      <w:r>
        <w:rPr>
          <w:rFonts w:hint="eastAsia" w:ascii="仿宋" w:hAnsi="仿宋" w:eastAsia="仿宋"/>
          <w:color w:val="auto"/>
          <w:sz w:val="28"/>
          <w:szCs w:val="28"/>
          <w:highlight w:val="none"/>
          <w:lang w:val="en-US" w:eastAsia="zh-CN"/>
        </w:rPr>
        <w:t>本项目为东陈镇2026年生活垃圾转送服务项目，预估量每年2万吨（据实结算），</w:t>
      </w:r>
      <w:r>
        <w:rPr>
          <w:rFonts w:hint="eastAsia" w:ascii="仿宋" w:hAnsi="仿宋" w:eastAsia="仿宋"/>
          <w:color w:val="auto"/>
          <w:sz w:val="28"/>
          <w:szCs w:val="28"/>
          <w:highlight w:val="none"/>
        </w:rPr>
        <w:t>详见第</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章。</w:t>
      </w:r>
    </w:p>
    <w:p w14:paraId="43C651F9">
      <w:pPr>
        <w:spacing w:line="500" w:lineRule="exact"/>
        <w:ind w:firstLine="56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6.合同履行期限：</w:t>
      </w:r>
      <w:r>
        <w:rPr>
          <w:rFonts w:hint="eastAsia" w:ascii="仿宋" w:hAnsi="仿宋" w:eastAsia="仿宋"/>
          <w:color w:val="auto"/>
          <w:sz w:val="28"/>
          <w:szCs w:val="28"/>
          <w:highlight w:val="none"/>
          <w:lang w:val="en-US" w:eastAsia="zh-CN"/>
        </w:rPr>
        <w:t>服务期拟定三年，合同一年一签，具体时间以采购人通知为准。第一年合同期满后，经采购人组织相关部门对履约情况进行验收，如服务良好，在不改变服务要求和服务价格前提下，采购人可与成交人按年续签合同，续签不超过两次。</w:t>
      </w:r>
    </w:p>
    <w:p w14:paraId="32AF9DA2">
      <w:pPr>
        <w:spacing w:line="500" w:lineRule="exact"/>
        <w:ind w:firstLine="560" w:firstLineChars="200"/>
        <w:rPr>
          <w:rFonts w:ascii="仿宋" w:hAnsi="仿宋" w:eastAsia="仿宋"/>
          <w:color w:val="auto"/>
          <w:sz w:val="28"/>
          <w:szCs w:val="28"/>
          <w:highlight w:val="none"/>
          <w:u w:val="single"/>
        </w:rPr>
      </w:pPr>
      <w:r>
        <w:rPr>
          <w:rFonts w:hint="eastAsia" w:ascii="仿宋" w:hAnsi="仿宋" w:eastAsia="仿宋"/>
          <w:color w:val="auto"/>
          <w:sz w:val="28"/>
          <w:szCs w:val="28"/>
          <w:highlight w:val="none"/>
        </w:rPr>
        <w:t>7.本项目是否接受联合体：否。</w:t>
      </w:r>
    </w:p>
    <w:p w14:paraId="1DAF9726">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本项目是否专门面向中小企业采购：是。</w:t>
      </w:r>
    </w:p>
    <w:p w14:paraId="2889A0C0">
      <w:pPr>
        <w:spacing w:line="500" w:lineRule="exact"/>
        <w:ind w:firstLine="560" w:firstLineChars="200"/>
        <w:rPr>
          <w:rFonts w:hint="eastAsia" w:ascii="仿宋" w:hAnsi="仿宋" w:eastAsia="仿宋"/>
          <w:color w:val="auto"/>
          <w:sz w:val="28"/>
          <w:szCs w:val="28"/>
          <w:highlight w:val="none"/>
        </w:rPr>
      </w:pPr>
      <w:bookmarkStart w:id="7" w:name="_Toc28359013"/>
      <w:bookmarkStart w:id="8" w:name="_Toc35393630"/>
      <w:bookmarkStart w:id="9" w:name="_Toc28359090"/>
      <w:bookmarkStart w:id="10" w:name="_Toc12736"/>
      <w:bookmarkStart w:id="11" w:name="_Toc35393799"/>
      <w:r>
        <w:rPr>
          <w:rFonts w:hint="eastAsia" w:ascii="仿宋" w:hAnsi="仿宋" w:eastAsia="仿宋"/>
          <w:color w:val="auto"/>
          <w:sz w:val="28"/>
          <w:szCs w:val="28"/>
          <w:highlight w:val="none"/>
          <w:lang w:val="en-US" w:eastAsia="zh-CN"/>
        </w:rPr>
        <w:t>9.</w:t>
      </w:r>
      <w:r>
        <w:rPr>
          <w:rFonts w:hint="eastAsia" w:ascii="仿宋" w:hAnsi="仿宋" w:eastAsia="仿宋"/>
          <w:color w:val="auto"/>
          <w:sz w:val="28"/>
          <w:szCs w:val="28"/>
          <w:highlight w:val="none"/>
        </w:rPr>
        <w:t>项目类型：服务。</w:t>
      </w:r>
    </w:p>
    <w:p w14:paraId="5553D486">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0</w:t>
      </w:r>
      <w:r>
        <w:rPr>
          <w:rFonts w:hint="eastAsia" w:ascii="仿宋" w:hAnsi="仿宋" w:eastAsia="仿宋"/>
          <w:color w:val="auto"/>
          <w:sz w:val="28"/>
          <w:szCs w:val="28"/>
          <w:highlight w:val="none"/>
        </w:rPr>
        <w:t>.项目所属行业：其</w:t>
      </w:r>
      <w:r>
        <w:rPr>
          <w:rFonts w:ascii="仿宋" w:hAnsi="仿宋" w:eastAsia="仿宋"/>
          <w:color w:val="auto"/>
          <w:sz w:val="28"/>
          <w:szCs w:val="28"/>
          <w:highlight w:val="none"/>
        </w:rPr>
        <w:t>他未列明行业。</w:t>
      </w:r>
    </w:p>
    <w:p w14:paraId="142682DC">
      <w:pPr>
        <w:pStyle w:val="6"/>
        <w:spacing w:after="0" w:line="500" w:lineRule="exact"/>
        <w:ind w:firstLine="560" w:firstLineChars="200"/>
        <w:outlineLvl w:val="1"/>
        <w:rPr>
          <w:rFonts w:ascii="黑体" w:hAnsi="黑体" w:eastAsia="黑体"/>
          <w:color w:val="auto"/>
          <w:sz w:val="28"/>
          <w:szCs w:val="28"/>
          <w:highlight w:val="none"/>
        </w:rPr>
      </w:pPr>
      <w:r>
        <w:rPr>
          <w:rFonts w:hint="eastAsia" w:ascii="黑体" w:hAnsi="黑体" w:eastAsia="黑体"/>
          <w:color w:val="auto"/>
          <w:sz w:val="28"/>
          <w:szCs w:val="28"/>
          <w:highlight w:val="none"/>
        </w:rPr>
        <w:t>二、响应人的资格要求：</w:t>
      </w:r>
      <w:bookmarkEnd w:id="7"/>
      <w:bookmarkEnd w:id="8"/>
      <w:bookmarkEnd w:id="9"/>
      <w:bookmarkEnd w:id="10"/>
      <w:bookmarkEnd w:id="11"/>
    </w:p>
    <w:p w14:paraId="78C24461">
      <w:pPr>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1.《中华人民共和国政府采购法》第二十二条规定的条件：</w:t>
      </w:r>
    </w:p>
    <w:p w14:paraId="3E2E855C">
      <w:pPr>
        <w:pStyle w:val="14"/>
        <w:shd w:val="clear" w:color="auto" w:fill="FFFFFF"/>
        <w:spacing w:before="0" w:beforeAutospacing="0" w:after="0" w:afterAutospacing="0" w:line="500" w:lineRule="exact"/>
        <w:ind w:firstLine="560" w:firstLineChars="200"/>
        <w:rPr>
          <w:rFonts w:ascii="仿宋" w:hAnsi="仿宋" w:eastAsia="仿宋" w:cs="Times New Roman"/>
          <w:color w:val="auto"/>
          <w:kern w:val="2"/>
          <w:sz w:val="28"/>
          <w:szCs w:val="28"/>
          <w:highlight w:val="none"/>
        </w:rPr>
      </w:pPr>
      <w:bookmarkStart w:id="12" w:name="_Toc28359091"/>
      <w:bookmarkStart w:id="13" w:name="_Toc28359014"/>
      <w:r>
        <w:rPr>
          <w:rFonts w:hint="eastAsia" w:ascii="仿宋" w:hAnsi="仿宋" w:eastAsia="仿宋" w:cs="Times New Roman"/>
          <w:color w:val="auto"/>
          <w:kern w:val="2"/>
          <w:sz w:val="28"/>
          <w:szCs w:val="28"/>
          <w:highlight w:val="none"/>
        </w:rPr>
        <w:t>（1）具有独立承担民事责任的能力;</w:t>
      </w:r>
    </w:p>
    <w:p w14:paraId="19CFF713">
      <w:pPr>
        <w:pStyle w:val="14"/>
        <w:shd w:val="clear" w:color="auto" w:fill="FFFFFF"/>
        <w:spacing w:before="0" w:beforeAutospacing="0" w:after="0" w:afterAutospacing="0" w:line="500" w:lineRule="exact"/>
        <w:ind w:firstLine="560" w:firstLineChars="200"/>
        <w:rPr>
          <w:rFonts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（2）具有良好的商业信誉和健全的财务会计制度;</w:t>
      </w:r>
    </w:p>
    <w:p w14:paraId="3A0F31EC">
      <w:pPr>
        <w:pStyle w:val="14"/>
        <w:shd w:val="clear" w:color="auto" w:fill="FFFFFF"/>
        <w:spacing w:before="0" w:beforeAutospacing="0" w:after="0" w:afterAutospacing="0" w:line="500" w:lineRule="exact"/>
        <w:ind w:firstLine="560" w:firstLineChars="200"/>
        <w:rPr>
          <w:rFonts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（3）具有履行合同所必需的设备和专业技术能力;</w:t>
      </w:r>
    </w:p>
    <w:p w14:paraId="7F5AEBF8">
      <w:pPr>
        <w:pStyle w:val="14"/>
        <w:shd w:val="clear" w:color="auto" w:fill="FFFFFF"/>
        <w:spacing w:before="0" w:beforeAutospacing="0" w:after="0" w:afterAutospacing="0" w:line="500" w:lineRule="exact"/>
        <w:ind w:firstLine="560" w:firstLineChars="200"/>
        <w:rPr>
          <w:rFonts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（4）有依法缴纳税收和社会保障资金的良好记录;</w:t>
      </w:r>
    </w:p>
    <w:p w14:paraId="7E91DD32">
      <w:pPr>
        <w:pStyle w:val="14"/>
        <w:shd w:val="clear" w:color="auto" w:fill="FFFFFF"/>
        <w:spacing w:before="0" w:beforeAutospacing="0" w:after="0" w:afterAutospacing="0" w:line="500" w:lineRule="exact"/>
        <w:ind w:firstLine="560" w:firstLineChars="200"/>
        <w:rPr>
          <w:rFonts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（5）参加政府采购活动前三年内，在经营活动中没有重大违法记录;</w:t>
      </w:r>
    </w:p>
    <w:p w14:paraId="190E04E9">
      <w:pPr>
        <w:pStyle w:val="14"/>
        <w:shd w:val="clear" w:color="auto" w:fill="FFFFFF"/>
        <w:spacing w:before="0" w:beforeAutospacing="0" w:after="0" w:afterAutospacing="0" w:line="500" w:lineRule="exact"/>
        <w:ind w:firstLine="560" w:firstLineChars="200"/>
        <w:outlineLvl w:val="9"/>
        <w:rPr>
          <w:rFonts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（6）法律、行政法规规定的其他条件。</w:t>
      </w:r>
    </w:p>
    <w:p w14:paraId="77FE015C">
      <w:pPr>
        <w:spacing w:line="500" w:lineRule="exact"/>
        <w:ind w:firstLine="560" w:firstLineChars="200"/>
        <w:outlineLvl w:val="9"/>
        <w:rPr>
          <w:rFonts w:ascii="仿宋" w:hAnsi="仿宋" w:eastAsia="仿宋"/>
          <w:color w:val="auto"/>
          <w:sz w:val="28"/>
          <w:szCs w:val="28"/>
          <w:highlight w:val="none"/>
          <w:u w:val="single"/>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 落实政府采购政策需满足的资格要求：</w:t>
      </w:r>
    </w:p>
    <w:p w14:paraId="599BCE13">
      <w:pPr>
        <w:pStyle w:val="14"/>
        <w:shd w:val="clear" w:color="auto" w:fill="FFFFFF"/>
        <w:spacing w:before="0" w:beforeAutospacing="0" w:after="0" w:afterAutospacing="0" w:line="500" w:lineRule="exact"/>
        <w:ind w:firstLine="482"/>
        <w:textAlignment w:val="baseline"/>
        <w:rPr>
          <w:rFonts w:ascii="仿宋" w:hAnsi="仿宋" w:eastAsia="仿宋" w:cs="Times New Roman"/>
          <w:color w:val="auto"/>
          <w:kern w:val="2"/>
          <w:sz w:val="28"/>
          <w:szCs w:val="28"/>
          <w:highlight w:val="none"/>
        </w:rPr>
      </w:pPr>
      <w:r>
        <w:rPr>
          <w:rFonts w:ascii="仿宋" w:hAnsi="仿宋" w:eastAsia="仿宋" w:cs="Times New Roman"/>
          <w:color w:val="auto"/>
          <w:kern w:val="2"/>
          <w:sz w:val="28"/>
          <w:szCs w:val="28"/>
          <w:highlight w:val="none"/>
        </w:rPr>
        <w:t>（</w:t>
      </w:r>
      <w:r>
        <w:rPr>
          <w:rFonts w:hint="eastAsia" w:ascii="仿宋" w:hAnsi="仿宋" w:eastAsia="仿宋" w:cs="Times New Roman"/>
          <w:color w:val="auto"/>
          <w:kern w:val="2"/>
          <w:sz w:val="28"/>
          <w:szCs w:val="28"/>
          <w:highlight w:val="none"/>
        </w:rPr>
        <w:t>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color w:val="auto"/>
          <w:kern w:val="2"/>
          <w:sz w:val="28"/>
          <w:szCs w:val="28"/>
          <w:highlight w:val="none"/>
        </w:rPr>
        <w:t>供应商</w:t>
      </w:r>
      <w:r>
        <w:rPr>
          <w:rFonts w:hint="eastAsia" w:ascii="仿宋" w:hAnsi="仿宋" w:eastAsia="仿宋" w:cs="Times New Roman"/>
          <w:color w:val="auto"/>
          <w:kern w:val="2"/>
          <w:sz w:val="28"/>
          <w:szCs w:val="28"/>
          <w:highlight w:val="none"/>
        </w:rPr>
        <w:t>属于</w:t>
      </w:r>
      <w:r>
        <w:rPr>
          <w:rFonts w:ascii="仿宋" w:hAnsi="仿宋" w:eastAsia="仿宋" w:cs="Times New Roman"/>
          <w:color w:val="auto"/>
          <w:kern w:val="2"/>
          <w:sz w:val="28"/>
          <w:szCs w:val="28"/>
          <w:highlight w:val="none"/>
        </w:rPr>
        <w:t>小微企业</w:t>
      </w:r>
      <w:r>
        <w:rPr>
          <w:rFonts w:hint="eastAsia" w:ascii="仿宋" w:hAnsi="仿宋" w:eastAsia="仿宋" w:cs="Times New Roman"/>
          <w:color w:val="auto"/>
          <w:kern w:val="2"/>
          <w:sz w:val="28"/>
          <w:szCs w:val="28"/>
          <w:highlight w:val="none"/>
        </w:rPr>
        <w:t>、</w:t>
      </w:r>
      <w:r>
        <w:rPr>
          <w:rFonts w:ascii="仿宋" w:hAnsi="仿宋" w:eastAsia="仿宋" w:cs="Times New Roman"/>
          <w:color w:val="auto"/>
          <w:kern w:val="2"/>
          <w:sz w:val="28"/>
          <w:szCs w:val="28"/>
          <w:highlight w:val="none"/>
        </w:rPr>
        <w:t>监狱企业</w:t>
      </w:r>
      <w:r>
        <w:rPr>
          <w:rFonts w:hint="eastAsia" w:ascii="仿宋" w:hAnsi="仿宋" w:eastAsia="仿宋" w:cs="Times New Roman"/>
          <w:color w:val="auto"/>
          <w:kern w:val="2"/>
          <w:sz w:val="28"/>
          <w:szCs w:val="28"/>
          <w:highlight w:val="none"/>
        </w:rPr>
        <w:t>或者</w:t>
      </w:r>
      <w:r>
        <w:rPr>
          <w:rFonts w:ascii="仿宋" w:hAnsi="仿宋" w:eastAsia="仿宋" w:cs="Times New Roman"/>
          <w:color w:val="auto"/>
          <w:kern w:val="2"/>
          <w:sz w:val="28"/>
          <w:szCs w:val="28"/>
          <w:highlight w:val="none"/>
        </w:rPr>
        <w:t>残疾人福利性单位的</w:t>
      </w:r>
      <w:r>
        <w:rPr>
          <w:rFonts w:hint="eastAsia" w:ascii="仿宋" w:hAnsi="仿宋" w:eastAsia="仿宋" w:cs="Times New Roman"/>
          <w:color w:val="auto"/>
          <w:kern w:val="2"/>
          <w:sz w:val="28"/>
          <w:szCs w:val="28"/>
          <w:highlight w:val="none"/>
        </w:rPr>
        <w:t>，享受价格扣除优惠。</w:t>
      </w:r>
    </w:p>
    <w:p w14:paraId="5C7CDD11">
      <w:pPr>
        <w:pStyle w:val="14"/>
        <w:shd w:val="clear" w:color="auto" w:fill="FFFFFF"/>
        <w:spacing w:before="0" w:beforeAutospacing="0" w:after="0" w:afterAutospacing="0" w:line="500" w:lineRule="exact"/>
        <w:ind w:firstLine="482"/>
        <w:textAlignment w:val="baseline"/>
        <w:rPr>
          <w:rFonts w:ascii="仿宋" w:hAnsi="仿宋" w:eastAsia="仿宋"/>
          <w:iCs/>
          <w:color w:val="auto"/>
          <w:sz w:val="28"/>
          <w:szCs w:val="28"/>
          <w:highlight w:val="none"/>
        </w:rPr>
      </w:pPr>
      <w:r>
        <w:rPr>
          <w:rFonts w:hint="eastAsia" w:ascii="仿宋" w:hAnsi="仿宋" w:eastAsia="仿宋" w:cs="Times New Roman"/>
          <w:color w:val="auto"/>
          <w:kern w:val="2"/>
          <w:sz w:val="28"/>
          <w:szCs w:val="28"/>
          <w:highlight w:val="none"/>
        </w:rPr>
        <w:t>（2）</w:t>
      </w:r>
      <w:r>
        <w:rPr>
          <w:rFonts w:hint="eastAsia" w:ascii="仿宋" w:hAnsi="仿宋" w:eastAsia="仿宋"/>
          <w:iCs/>
          <w:color w:val="auto"/>
          <w:sz w:val="28"/>
          <w:szCs w:val="28"/>
          <w:highlight w:val="none"/>
        </w:rPr>
        <w:t>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color w:val="auto"/>
          <w:kern w:val="2"/>
          <w:sz w:val="28"/>
          <w:szCs w:val="28"/>
          <w:highlight w:val="none"/>
        </w:rPr>
        <w:t>。</w:t>
      </w:r>
    </w:p>
    <w:p w14:paraId="6D55F25F">
      <w:pPr>
        <w:pStyle w:val="14"/>
        <w:shd w:val="clear" w:color="auto" w:fill="FFFFFF"/>
        <w:spacing w:before="0" w:beforeAutospacing="0" w:after="0" w:afterAutospacing="0" w:line="500" w:lineRule="exact"/>
        <w:ind w:firstLine="482"/>
        <w:textAlignment w:val="baseline"/>
        <w:rPr>
          <w:rFonts w:ascii="仿宋" w:hAnsi="仿宋" w:eastAsia="仿宋" w:cs="Times New Roman"/>
          <w:color w:val="auto"/>
          <w:kern w:val="2"/>
          <w:sz w:val="28"/>
          <w:szCs w:val="28"/>
          <w:highlight w:val="none"/>
        </w:rPr>
      </w:pPr>
      <w:r>
        <w:rPr>
          <w:rFonts w:hint="eastAsia" w:ascii="仿宋" w:hAnsi="仿宋" w:eastAsia="仿宋"/>
          <w:iCs/>
          <w:color w:val="auto"/>
          <w:sz w:val="28"/>
          <w:szCs w:val="28"/>
          <w:highlight w:val="none"/>
        </w:rPr>
        <w:t>（3）</w:t>
      </w:r>
      <w:r>
        <w:rPr>
          <w:rFonts w:hint="eastAsia" w:ascii="仿宋" w:hAnsi="仿宋" w:eastAsia="仿宋" w:cs="Times New Roman"/>
          <w:iCs/>
          <w:color w:val="auto"/>
          <w:kern w:val="2"/>
          <w:sz w:val="28"/>
          <w:szCs w:val="28"/>
          <w:highlight w:val="none"/>
        </w:rPr>
        <w:t>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color w:val="auto"/>
          <w:sz w:val="28"/>
          <w:szCs w:val="28"/>
          <w:highlight w:val="none"/>
        </w:rPr>
        <w:t>,以及全国认证认可信息公共服务平台查询截图</w:t>
      </w:r>
      <w:r>
        <w:rPr>
          <w:rFonts w:hint="eastAsia" w:ascii="仿宋" w:hAnsi="仿宋" w:eastAsia="仿宋" w:cs="Times New Roman"/>
          <w:iCs/>
          <w:color w:val="auto"/>
          <w:kern w:val="2"/>
          <w:sz w:val="28"/>
          <w:szCs w:val="28"/>
          <w:highlight w:val="none"/>
        </w:rPr>
        <w:t>。</w:t>
      </w:r>
    </w:p>
    <w:p w14:paraId="0B797E41">
      <w:pPr>
        <w:pStyle w:val="14"/>
        <w:shd w:val="clear" w:color="auto" w:fill="FFFFFF"/>
        <w:spacing w:before="0" w:beforeAutospacing="0" w:after="0" w:afterAutospacing="0" w:line="500" w:lineRule="exact"/>
        <w:ind w:firstLine="567"/>
        <w:textAlignment w:val="baseline"/>
        <w:rPr>
          <w:rFonts w:hint="default" w:ascii="仿宋" w:hAnsi="仿宋" w:eastAsia="仿宋"/>
          <w:b/>
          <w:bCs/>
          <w:color w:val="auto"/>
          <w:sz w:val="28"/>
          <w:szCs w:val="28"/>
          <w:highlight w:val="none"/>
          <w:u w:val="single"/>
          <w:lang w:val="en-US" w:eastAsia="zh-CN"/>
        </w:rPr>
      </w:pPr>
      <w:r>
        <w:rPr>
          <w:rFonts w:hint="eastAsia" w:ascii="仿宋" w:hAnsi="仿宋" w:eastAsia="仿宋" w:cs="Times New Roman"/>
          <w:color w:val="auto"/>
          <w:kern w:val="2"/>
          <w:sz w:val="28"/>
          <w:szCs w:val="28"/>
          <w:highlight w:val="none"/>
        </w:rPr>
        <w:t>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kern w:val="2"/>
          <w:sz w:val="28"/>
          <w:szCs w:val="28"/>
          <w:highlight w:val="none"/>
          <w:lang w:val="en-US" w:eastAsia="zh-CN"/>
        </w:rPr>
        <w:t>响应供应商须提供承诺函，格式自拟，不提供视为无效响应。</w:t>
      </w:r>
    </w:p>
    <w:p w14:paraId="3339D195">
      <w:pPr>
        <w:spacing w:line="500" w:lineRule="exact"/>
        <w:ind w:firstLine="56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4. 本项目的特定资格要求：</w:t>
      </w:r>
      <w:r>
        <w:rPr>
          <w:rFonts w:hint="eastAsia" w:ascii="仿宋" w:hAnsi="仿宋" w:eastAsia="仿宋"/>
          <w:b/>
          <w:bCs/>
          <w:color w:val="auto"/>
          <w:sz w:val="28"/>
          <w:szCs w:val="28"/>
          <w:highlight w:val="none"/>
          <w:lang w:val="en-US" w:eastAsia="zh-CN"/>
        </w:rPr>
        <w:t>无。</w:t>
      </w:r>
    </w:p>
    <w:p w14:paraId="693995A7">
      <w:pPr>
        <w:pStyle w:val="14"/>
        <w:shd w:val="clear" w:color="auto" w:fill="FFFFFF"/>
        <w:spacing w:before="0" w:beforeAutospacing="0" w:after="0" w:afterAutospacing="0" w:line="500" w:lineRule="exact"/>
        <w:ind w:firstLine="567"/>
        <w:textAlignment w:val="baseline"/>
        <w:rPr>
          <w:rFonts w:ascii="仿宋" w:hAnsi="仿宋" w:eastAsia="仿宋" w:cs="Times New Roman"/>
          <w:color w:val="auto"/>
          <w:kern w:val="2"/>
          <w:sz w:val="28"/>
          <w:szCs w:val="28"/>
          <w:highlight w:val="none"/>
        </w:rPr>
      </w:pPr>
      <w:r>
        <w:rPr>
          <w:rFonts w:hint="eastAsia" w:ascii="仿宋" w:hAnsi="仿宋" w:eastAsia="仿宋"/>
          <w:iCs/>
          <w:color w:val="auto"/>
          <w:sz w:val="28"/>
          <w:szCs w:val="28"/>
          <w:highlight w:val="none"/>
        </w:rPr>
        <w:t>5.</w:t>
      </w:r>
      <w:r>
        <w:rPr>
          <w:rFonts w:hint="eastAsia" w:ascii="仿宋" w:hAnsi="仿宋" w:eastAsia="仿宋"/>
          <w:color w:val="auto"/>
          <w:sz w:val="28"/>
          <w:szCs w:val="28"/>
          <w:highlight w:val="none"/>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color w:val="auto"/>
          <w:sz w:val="28"/>
          <w:szCs w:val="28"/>
          <w:highlight w:val="none"/>
        </w:rPr>
        <w:t>授权委托书。</w:t>
      </w:r>
    </w:p>
    <w:p w14:paraId="658D83E6">
      <w:pPr>
        <w:spacing w:line="500" w:lineRule="exact"/>
        <w:ind w:firstLine="560" w:firstLineChars="200"/>
        <w:rPr>
          <w:rFonts w:ascii="仿宋" w:hAnsi="仿宋" w:eastAsia="仿宋"/>
          <w:i/>
          <w:iCs/>
          <w:color w:val="auto"/>
          <w:sz w:val="28"/>
          <w:szCs w:val="28"/>
          <w:highlight w:val="none"/>
          <w:u w:val="single"/>
        </w:rPr>
      </w:pPr>
      <w:r>
        <w:rPr>
          <w:rFonts w:hint="eastAsia" w:ascii="仿宋" w:hAnsi="仿宋" w:eastAsia="仿宋"/>
          <w:color w:val="auto"/>
          <w:sz w:val="28"/>
          <w:szCs w:val="28"/>
          <w:highlight w:val="none"/>
        </w:rPr>
        <w:t>6.未被“信用中国（www.creditchina.gov.cn）”、“中国政府采购网（http://www.ccgp.gov.cn/）”网站列入失信被执行人或重大税收违法案件当事人名单或政府采购严重失信行为记录名单，查询结果以评审过程中现场网络截图为准。</w:t>
      </w:r>
    </w:p>
    <w:p w14:paraId="5517707D">
      <w:pPr>
        <w:pStyle w:val="6"/>
        <w:spacing w:after="0" w:line="500" w:lineRule="exact"/>
        <w:ind w:firstLine="560" w:firstLineChars="200"/>
        <w:outlineLvl w:val="1"/>
        <w:rPr>
          <w:rFonts w:ascii="黑体" w:hAnsi="黑体" w:eastAsia="黑体"/>
          <w:color w:val="auto"/>
          <w:sz w:val="28"/>
          <w:szCs w:val="28"/>
          <w:highlight w:val="none"/>
        </w:rPr>
      </w:pPr>
      <w:bookmarkStart w:id="14" w:name="_Toc6227"/>
      <w:bookmarkStart w:id="15" w:name="_Toc35393631"/>
      <w:bookmarkStart w:id="16" w:name="_Toc35393800"/>
      <w:r>
        <w:rPr>
          <w:rFonts w:hint="eastAsia" w:ascii="黑体" w:hAnsi="黑体" w:eastAsia="黑体"/>
          <w:color w:val="auto"/>
          <w:sz w:val="28"/>
          <w:szCs w:val="28"/>
          <w:highlight w:val="none"/>
        </w:rPr>
        <w:t>三、获取竞争性磋商文件</w:t>
      </w:r>
      <w:bookmarkEnd w:id="12"/>
      <w:bookmarkEnd w:id="13"/>
      <w:bookmarkEnd w:id="14"/>
      <w:bookmarkEnd w:id="15"/>
      <w:bookmarkEnd w:id="16"/>
    </w:p>
    <w:p w14:paraId="63B6B26D">
      <w:pPr>
        <w:spacing w:line="500" w:lineRule="exact"/>
        <w:ind w:firstLine="54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1. 时间：</w:t>
      </w:r>
      <w:r>
        <w:rPr>
          <w:rFonts w:hint="eastAsia" w:ascii="仿宋" w:hAnsi="仿宋" w:eastAsia="仿宋" w:cs="仿宋"/>
          <w:color w:val="auto"/>
          <w:sz w:val="28"/>
          <w:szCs w:val="28"/>
          <w:highlight w:val="none"/>
        </w:rPr>
        <w:t>自公告发布之日起5个工作日内。</w:t>
      </w:r>
    </w:p>
    <w:p w14:paraId="5F8D30C2">
      <w:pPr>
        <w:spacing w:line="500" w:lineRule="exact"/>
        <w:ind w:firstLine="54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2. 地点：江苏省政府采购网</w:t>
      </w:r>
    </w:p>
    <w:p w14:paraId="032C9610">
      <w:pPr>
        <w:spacing w:line="500" w:lineRule="exact"/>
        <w:ind w:firstLine="54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3. 方式：</w:t>
      </w:r>
      <w:r>
        <w:rPr>
          <w:rFonts w:hint="eastAsia" w:ascii="仿宋" w:hAnsi="仿宋" w:eastAsia="仿宋" w:cs="仿宋"/>
          <w:color w:val="auto"/>
          <w:sz w:val="28"/>
          <w:szCs w:val="28"/>
          <w:highlight w:val="none"/>
        </w:rPr>
        <w:t>本项目采用“苏采云”系统网上注册登记方式，具体详见《江苏省政府采购管理交易系统（苏采云）投标人操作手册》。</w:t>
      </w:r>
    </w:p>
    <w:p w14:paraId="1DBB5134">
      <w:pPr>
        <w:pStyle w:val="6"/>
        <w:spacing w:after="0" w:line="500" w:lineRule="exact"/>
        <w:ind w:firstLine="560" w:firstLineChars="200"/>
        <w:outlineLvl w:val="1"/>
        <w:rPr>
          <w:rFonts w:ascii="黑体" w:hAnsi="黑体" w:eastAsia="黑体"/>
          <w:color w:val="auto"/>
          <w:sz w:val="28"/>
          <w:szCs w:val="28"/>
          <w:highlight w:val="none"/>
        </w:rPr>
      </w:pPr>
      <w:bookmarkStart w:id="17" w:name="_Toc28359092"/>
      <w:bookmarkStart w:id="18" w:name="_Toc35393632"/>
      <w:bookmarkStart w:id="19" w:name="_Toc35393801"/>
      <w:bookmarkStart w:id="20" w:name="_Toc28359015"/>
      <w:bookmarkStart w:id="21" w:name="_Toc26090"/>
      <w:r>
        <w:rPr>
          <w:rFonts w:hint="eastAsia" w:ascii="黑体" w:hAnsi="黑体" w:eastAsia="黑体"/>
          <w:color w:val="auto"/>
          <w:sz w:val="28"/>
          <w:szCs w:val="28"/>
          <w:highlight w:val="none"/>
        </w:rPr>
        <w:t>四、</w:t>
      </w:r>
      <w:bookmarkEnd w:id="17"/>
      <w:bookmarkEnd w:id="18"/>
      <w:bookmarkEnd w:id="19"/>
      <w:bookmarkEnd w:id="20"/>
      <w:r>
        <w:rPr>
          <w:rFonts w:hint="eastAsia" w:ascii="黑体" w:hAnsi="黑体" w:eastAsia="黑体"/>
          <w:color w:val="auto"/>
          <w:sz w:val="28"/>
          <w:szCs w:val="28"/>
          <w:highlight w:val="none"/>
        </w:rPr>
        <w:t>竞争性磋商响应文件提交和开启</w:t>
      </w:r>
      <w:bookmarkEnd w:id="21"/>
    </w:p>
    <w:p w14:paraId="704D3CEF">
      <w:pPr>
        <w:spacing w:line="500" w:lineRule="exact"/>
        <w:ind w:firstLine="560" w:firstLineChars="200"/>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截止时间：</w:t>
      </w:r>
      <w:r>
        <w:rPr>
          <w:rFonts w:hint="eastAsia" w:ascii="仿宋" w:hAnsi="仿宋" w:eastAsia="仿宋"/>
          <w:color w:val="auto"/>
          <w:sz w:val="28"/>
          <w:szCs w:val="28"/>
          <w:highlight w:val="none"/>
          <w:lang w:val="en-US" w:eastAsia="zh-CN"/>
        </w:rPr>
        <w:t>2026</w:t>
      </w:r>
      <w:r>
        <w:rPr>
          <w:rFonts w:hint="eastAsia" w:ascii="仿宋" w:hAnsi="仿宋" w:eastAsia="仿宋"/>
          <w:bCs/>
          <w:color w:val="auto"/>
          <w:sz w:val="28"/>
          <w:szCs w:val="28"/>
          <w:highlight w:val="none"/>
        </w:rPr>
        <w:t>年</w:t>
      </w:r>
      <w:r>
        <w:rPr>
          <w:rFonts w:hint="eastAsia" w:ascii="仿宋" w:hAnsi="仿宋" w:eastAsia="仿宋"/>
          <w:bCs/>
          <w:color w:val="auto"/>
          <w:sz w:val="28"/>
          <w:szCs w:val="28"/>
          <w:highlight w:val="none"/>
          <w:lang w:val="en-US" w:eastAsia="zh-CN"/>
        </w:rPr>
        <w:t>06</w:t>
      </w:r>
      <w:r>
        <w:rPr>
          <w:rFonts w:hint="eastAsia" w:ascii="仿宋" w:hAnsi="仿宋" w:eastAsia="仿宋"/>
          <w:bCs/>
          <w:color w:val="auto"/>
          <w:sz w:val="28"/>
          <w:szCs w:val="28"/>
          <w:highlight w:val="none"/>
        </w:rPr>
        <w:t>月</w:t>
      </w:r>
      <w:r>
        <w:rPr>
          <w:rFonts w:hint="eastAsia" w:ascii="仿宋" w:hAnsi="仿宋" w:eastAsia="仿宋"/>
          <w:bCs/>
          <w:color w:val="auto"/>
          <w:sz w:val="28"/>
          <w:szCs w:val="28"/>
          <w:highlight w:val="none"/>
          <w:lang w:val="en-US" w:eastAsia="zh-CN"/>
        </w:rPr>
        <w:t>15</w:t>
      </w:r>
      <w:r>
        <w:rPr>
          <w:rFonts w:hint="eastAsia" w:ascii="仿宋" w:hAnsi="仿宋" w:eastAsia="仿宋"/>
          <w:bCs/>
          <w:color w:val="auto"/>
          <w:sz w:val="28"/>
          <w:szCs w:val="28"/>
          <w:highlight w:val="none"/>
        </w:rPr>
        <w:t>日</w:t>
      </w:r>
      <w:r>
        <w:rPr>
          <w:rFonts w:hint="eastAsia" w:ascii="仿宋" w:hAnsi="仿宋" w:eastAsia="仿宋"/>
          <w:bCs/>
          <w:color w:val="auto"/>
          <w:sz w:val="28"/>
          <w:szCs w:val="28"/>
          <w:highlight w:val="none"/>
          <w:lang w:val="en-US" w:eastAsia="zh-CN"/>
        </w:rPr>
        <w:t>09</w:t>
      </w:r>
      <w:r>
        <w:rPr>
          <w:rFonts w:hint="eastAsia" w:ascii="仿宋" w:hAnsi="仿宋" w:eastAsia="仿宋"/>
          <w:bCs/>
          <w:color w:val="auto"/>
          <w:sz w:val="28"/>
          <w:szCs w:val="28"/>
          <w:highlight w:val="none"/>
        </w:rPr>
        <w:t>点</w:t>
      </w:r>
      <w:r>
        <w:rPr>
          <w:rFonts w:hint="eastAsia" w:ascii="仿宋" w:hAnsi="仿宋" w:eastAsia="仿宋"/>
          <w:bCs/>
          <w:color w:val="auto"/>
          <w:sz w:val="28"/>
          <w:szCs w:val="28"/>
          <w:highlight w:val="none"/>
          <w:lang w:val="en-US" w:eastAsia="zh-CN"/>
        </w:rPr>
        <w:t>00</w:t>
      </w:r>
      <w:r>
        <w:rPr>
          <w:rFonts w:hint="eastAsia" w:ascii="仿宋" w:hAnsi="仿宋" w:eastAsia="仿宋"/>
          <w:bCs/>
          <w:color w:val="auto"/>
          <w:sz w:val="28"/>
          <w:szCs w:val="28"/>
          <w:highlight w:val="none"/>
        </w:rPr>
        <w:t>分（北京时间）</w:t>
      </w:r>
    </w:p>
    <w:p w14:paraId="5F20FFC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地点：通过“苏采云”系统提交，具体详见《江苏省政府采购管理交易系统（苏采云）投标人操作手册》。</w:t>
      </w:r>
    </w:p>
    <w:p w14:paraId="29EA3216">
      <w:pPr>
        <w:spacing w:line="500" w:lineRule="exact"/>
        <w:ind w:firstLine="560"/>
        <w:rPr>
          <w:rFonts w:ascii="仿宋" w:hAnsi="仿宋" w:eastAsia="仿宋"/>
          <w:bCs/>
          <w:color w:val="auto"/>
          <w:sz w:val="28"/>
          <w:szCs w:val="28"/>
          <w:highlight w:val="none"/>
        </w:rPr>
      </w:pPr>
      <w:r>
        <w:rPr>
          <w:rFonts w:hint="eastAsia" w:ascii="仿宋" w:hAnsi="仿宋" w:eastAsia="仿宋"/>
          <w:color w:val="auto"/>
          <w:sz w:val="28"/>
          <w:szCs w:val="28"/>
          <w:highlight w:val="none"/>
        </w:rPr>
        <w:t>开启时间：</w:t>
      </w:r>
      <w:r>
        <w:rPr>
          <w:rFonts w:hint="eastAsia" w:ascii="仿宋" w:hAnsi="仿宋" w:eastAsia="仿宋"/>
          <w:color w:val="auto"/>
          <w:sz w:val="28"/>
          <w:szCs w:val="28"/>
          <w:highlight w:val="none"/>
          <w:lang w:val="en-US" w:eastAsia="zh-CN"/>
        </w:rPr>
        <w:t>2026</w:t>
      </w:r>
      <w:r>
        <w:rPr>
          <w:rFonts w:hint="eastAsia" w:ascii="仿宋" w:hAnsi="仿宋" w:eastAsia="仿宋"/>
          <w:bCs/>
          <w:color w:val="auto"/>
          <w:sz w:val="28"/>
          <w:szCs w:val="28"/>
          <w:highlight w:val="none"/>
        </w:rPr>
        <w:t>年</w:t>
      </w:r>
      <w:r>
        <w:rPr>
          <w:rFonts w:hint="eastAsia" w:ascii="仿宋" w:hAnsi="仿宋" w:eastAsia="仿宋"/>
          <w:bCs/>
          <w:color w:val="auto"/>
          <w:sz w:val="28"/>
          <w:szCs w:val="28"/>
          <w:highlight w:val="none"/>
          <w:lang w:val="en-US" w:eastAsia="zh-CN"/>
        </w:rPr>
        <w:t>06</w:t>
      </w:r>
      <w:r>
        <w:rPr>
          <w:rFonts w:hint="eastAsia" w:ascii="仿宋" w:hAnsi="仿宋" w:eastAsia="仿宋"/>
          <w:bCs/>
          <w:color w:val="auto"/>
          <w:sz w:val="28"/>
          <w:szCs w:val="28"/>
          <w:highlight w:val="none"/>
        </w:rPr>
        <w:t>月</w:t>
      </w:r>
      <w:r>
        <w:rPr>
          <w:rFonts w:hint="eastAsia" w:ascii="仿宋" w:hAnsi="仿宋" w:eastAsia="仿宋"/>
          <w:bCs/>
          <w:color w:val="auto"/>
          <w:sz w:val="28"/>
          <w:szCs w:val="28"/>
          <w:highlight w:val="none"/>
          <w:lang w:val="en-US" w:eastAsia="zh-CN"/>
        </w:rPr>
        <w:t>15</w:t>
      </w:r>
      <w:r>
        <w:rPr>
          <w:rFonts w:hint="eastAsia" w:ascii="仿宋" w:hAnsi="仿宋" w:eastAsia="仿宋"/>
          <w:bCs/>
          <w:color w:val="auto"/>
          <w:sz w:val="28"/>
          <w:szCs w:val="28"/>
          <w:highlight w:val="none"/>
        </w:rPr>
        <w:t>日</w:t>
      </w:r>
      <w:r>
        <w:rPr>
          <w:rFonts w:hint="eastAsia" w:ascii="仿宋" w:hAnsi="仿宋" w:eastAsia="仿宋"/>
          <w:bCs/>
          <w:color w:val="auto"/>
          <w:sz w:val="28"/>
          <w:szCs w:val="28"/>
          <w:highlight w:val="none"/>
          <w:lang w:val="en-US" w:eastAsia="zh-CN"/>
        </w:rPr>
        <w:t>09</w:t>
      </w:r>
      <w:r>
        <w:rPr>
          <w:rFonts w:hint="eastAsia" w:ascii="仿宋" w:hAnsi="仿宋" w:eastAsia="仿宋"/>
          <w:bCs/>
          <w:color w:val="auto"/>
          <w:sz w:val="28"/>
          <w:szCs w:val="28"/>
          <w:highlight w:val="none"/>
        </w:rPr>
        <w:t>点</w:t>
      </w:r>
      <w:r>
        <w:rPr>
          <w:rFonts w:hint="eastAsia" w:ascii="仿宋" w:hAnsi="仿宋" w:eastAsia="仿宋"/>
          <w:bCs/>
          <w:color w:val="auto"/>
          <w:sz w:val="28"/>
          <w:szCs w:val="28"/>
          <w:highlight w:val="none"/>
          <w:lang w:val="en-US" w:eastAsia="zh-CN"/>
        </w:rPr>
        <w:t>00</w:t>
      </w:r>
      <w:r>
        <w:rPr>
          <w:rFonts w:hint="eastAsia" w:ascii="仿宋" w:hAnsi="仿宋" w:eastAsia="仿宋"/>
          <w:bCs/>
          <w:color w:val="auto"/>
          <w:sz w:val="28"/>
          <w:szCs w:val="28"/>
          <w:highlight w:val="none"/>
        </w:rPr>
        <w:t>分（北京时间）</w:t>
      </w:r>
    </w:p>
    <w:p w14:paraId="06111F9D">
      <w:pPr>
        <w:spacing w:line="500" w:lineRule="exact"/>
        <w:ind w:firstLine="560" w:firstLineChars="200"/>
        <w:rPr>
          <w:rFonts w:ascii="仿宋" w:hAnsi="仿宋" w:eastAsia="仿宋"/>
          <w:color w:val="auto"/>
          <w:sz w:val="28"/>
          <w:szCs w:val="28"/>
          <w:highlight w:val="none"/>
        </w:rPr>
      </w:pPr>
      <w:r>
        <w:rPr>
          <w:rFonts w:hint="eastAsia" w:ascii="仿宋" w:hAnsi="仿宋" w:eastAsia="仿宋"/>
          <w:bCs/>
          <w:color w:val="auto"/>
          <w:sz w:val="28"/>
          <w:szCs w:val="28"/>
          <w:highlight w:val="none"/>
        </w:rPr>
        <w:t>开启地点：</w:t>
      </w:r>
      <w:r>
        <w:rPr>
          <w:rFonts w:ascii="仿宋" w:hAnsi="仿宋" w:eastAsia="仿宋"/>
          <w:color w:val="auto"/>
          <w:sz w:val="28"/>
          <w:szCs w:val="28"/>
          <w:highlight w:val="none"/>
        </w:rPr>
        <w:t>“苏采云”系统（网址：http://jszfcg.jsczt.cn/）“开标大厅”。</w:t>
      </w:r>
    </w:p>
    <w:p w14:paraId="3ADE4C0B">
      <w:pPr>
        <w:pStyle w:val="6"/>
        <w:spacing w:after="0" w:line="500" w:lineRule="exact"/>
        <w:ind w:firstLine="560" w:firstLineChars="200"/>
        <w:outlineLvl w:val="1"/>
        <w:rPr>
          <w:rFonts w:ascii="黑体" w:hAnsi="黑体" w:eastAsia="黑体"/>
          <w:color w:val="auto"/>
          <w:sz w:val="28"/>
          <w:szCs w:val="28"/>
          <w:highlight w:val="none"/>
        </w:rPr>
      </w:pPr>
      <w:bookmarkStart w:id="22" w:name="_Toc28359017"/>
      <w:bookmarkStart w:id="23" w:name="_Toc16672"/>
      <w:bookmarkStart w:id="24" w:name="_Toc35393803"/>
      <w:bookmarkStart w:id="25" w:name="_Toc28359094"/>
      <w:bookmarkStart w:id="26" w:name="_Toc35393634"/>
      <w:r>
        <w:rPr>
          <w:rFonts w:hint="eastAsia" w:ascii="黑体" w:hAnsi="黑体" w:eastAsia="黑体"/>
          <w:color w:val="auto"/>
          <w:sz w:val="28"/>
          <w:szCs w:val="28"/>
          <w:highlight w:val="none"/>
        </w:rPr>
        <w:t>五、公告期限</w:t>
      </w:r>
      <w:bookmarkEnd w:id="22"/>
      <w:bookmarkEnd w:id="23"/>
      <w:bookmarkEnd w:id="24"/>
      <w:bookmarkEnd w:id="25"/>
      <w:bookmarkEnd w:id="26"/>
    </w:p>
    <w:p w14:paraId="4EF4E42C">
      <w:pPr>
        <w:spacing w:line="500" w:lineRule="exact"/>
        <w:ind w:firstLine="560" w:firstLineChars="200"/>
        <w:rPr>
          <w:rFonts w:ascii="仿宋" w:hAnsi="仿宋" w:eastAsia="仿宋" w:cs="宋体"/>
          <w:color w:val="auto"/>
          <w:kern w:val="0"/>
          <w:sz w:val="28"/>
          <w:szCs w:val="28"/>
          <w:highlight w:val="none"/>
        </w:rPr>
      </w:pPr>
      <w:r>
        <w:rPr>
          <w:rFonts w:hint="eastAsia" w:ascii="仿宋" w:hAnsi="仿宋" w:eastAsia="仿宋" w:cs="宋体"/>
          <w:color w:val="auto"/>
          <w:kern w:val="0"/>
          <w:sz w:val="28"/>
          <w:szCs w:val="28"/>
          <w:highlight w:val="none"/>
        </w:rPr>
        <w:t>自本公告发布之日起3个工作日。</w:t>
      </w:r>
    </w:p>
    <w:p w14:paraId="168AAB34">
      <w:pPr>
        <w:pStyle w:val="6"/>
        <w:spacing w:after="0" w:line="500" w:lineRule="exact"/>
        <w:ind w:firstLine="560" w:firstLineChars="200"/>
        <w:outlineLvl w:val="1"/>
        <w:rPr>
          <w:rFonts w:ascii="黑体" w:hAnsi="黑体" w:eastAsia="黑体"/>
          <w:color w:val="auto"/>
          <w:sz w:val="28"/>
          <w:szCs w:val="28"/>
          <w:highlight w:val="none"/>
        </w:rPr>
      </w:pPr>
      <w:bookmarkStart w:id="27" w:name="_Toc19385"/>
      <w:bookmarkStart w:id="28" w:name="_Toc35393804"/>
      <w:bookmarkStart w:id="29" w:name="_Toc35393635"/>
      <w:r>
        <w:rPr>
          <w:rFonts w:hint="eastAsia" w:ascii="黑体" w:hAnsi="黑体" w:eastAsia="黑体"/>
          <w:color w:val="auto"/>
          <w:sz w:val="28"/>
          <w:szCs w:val="28"/>
          <w:highlight w:val="none"/>
        </w:rPr>
        <w:t>六、其他补充事宜</w:t>
      </w:r>
      <w:bookmarkEnd w:id="27"/>
      <w:bookmarkEnd w:id="28"/>
      <w:bookmarkEnd w:id="29"/>
    </w:p>
    <w:p w14:paraId="33A30B5E">
      <w:pPr>
        <w:spacing w:line="500" w:lineRule="exact"/>
        <w:ind w:firstLine="565" w:firstLineChars="202"/>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1.</w:t>
      </w:r>
      <w:r>
        <w:rPr>
          <w:rFonts w:hint="eastAsia" w:ascii="仿宋" w:hAnsi="仿宋" w:eastAsia="仿宋" w:cs="宋体"/>
          <w:bCs/>
          <w:color w:val="auto"/>
          <w:sz w:val="28"/>
          <w:szCs w:val="28"/>
          <w:highlight w:val="none"/>
        </w:rPr>
        <w:t>本项目采用电子化交易模式，</w:t>
      </w:r>
      <w:r>
        <w:rPr>
          <w:rFonts w:hint="eastAsia" w:ascii="仿宋" w:hAnsi="仿宋" w:eastAsia="仿宋"/>
          <w:color w:val="auto"/>
          <w:sz w:val="28"/>
          <w:szCs w:val="28"/>
          <w:highlight w:val="none"/>
        </w:rPr>
        <w:t>具体详见《江苏省政府采购管理交易系统（苏采云）投标人操作手册》，特别</w:t>
      </w:r>
      <w:r>
        <w:rPr>
          <w:rFonts w:hint="eastAsia" w:ascii="仿宋" w:hAnsi="仿宋" w:eastAsia="仿宋" w:cs="宋体"/>
          <w:bCs/>
          <w:color w:val="auto"/>
          <w:sz w:val="28"/>
          <w:szCs w:val="28"/>
          <w:highlight w:val="none"/>
        </w:rPr>
        <w:t>注意以下事项：</w:t>
      </w:r>
    </w:p>
    <w:p w14:paraId="695C61BE">
      <w:pPr>
        <w:spacing w:line="500" w:lineRule="exact"/>
        <w:ind w:firstLine="560" w:firstLineChars="200"/>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（1）“苏采云”系统的网址为：http://jszfcg.jsczt.cn/；</w:t>
      </w:r>
    </w:p>
    <w:p w14:paraId="640663F2">
      <w:pPr>
        <w:spacing w:line="500" w:lineRule="exact"/>
        <w:ind w:firstLine="560" w:firstLineChars="200"/>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（2）响应供应商需办理“CA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22"/>
          <w:rFonts w:ascii="仿宋" w:hAnsi="仿宋" w:eastAsia="仿宋" w:cs="宋体"/>
          <w:bCs/>
          <w:color w:val="auto"/>
          <w:sz w:val="28"/>
          <w:szCs w:val="28"/>
          <w:highlight w:val="none"/>
        </w:rPr>
        <w:t>http://jsxcmm.com/help/gys.html</w:t>
      </w:r>
      <w:r>
        <w:rPr>
          <w:rStyle w:val="22"/>
          <w:rFonts w:ascii="仿宋" w:hAnsi="仿宋" w:eastAsia="仿宋" w:cs="宋体"/>
          <w:bCs/>
          <w:color w:val="auto"/>
          <w:sz w:val="28"/>
          <w:szCs w:val="28"/>
          <w:highlight w:val="none"/>
        </w:rPr>
        <w:fldChar w:fldCharType="end"/>
      </w:r>
      <w:r>
        <w:rPr>
          <w:rFonts w:ascii="仿宋" w:hAnsi="仿宋" w:eastAsia="仿宋" w:cs="宋体"/>
          <w:bCs/>
          <w:color w:val="auto"/>
          <w:sz w:val="28"/>
          <w:szCs w:val="28"/>
          <w:highlight w:val="none"/>
        </w:rPr>
        <w:t>）</w:t>
      </w:r>
      <w:r>
        <w:rPr>
          <w:rFonts w:hint="eastAsia" w:ascii="仿宋" w:hAnsi="仿宋" w:eastAsia="仿宋" w:cs="宋体"/>
          <w:bCs/>
          <w:color w:val="auto"/>
          <w:sz w:val="28"/>
          <w:szCs w:val="28"/>
          <w:highlight w:val="none"/>
        </w:rPr>
        <w:t>。</w:t>
      </w:r>
    </w:p>
    <w:p w14:paraId="5BE34F55">
      <w:pPr>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s="仿宋"/>
          <w:color w:val="auto"/>
          <w:sz w:val="28"/>
          <w:szCs w:val="28"/>
          <w:highlight w:val="none"/>
        </w:rPr>
        <w:t>（3）</w:t>
      </w:r>
      <w:r>
        <w:rPr>
          <w:rFonts w:ascii="仿宋" w:hAnsi="仿宋" w:eastAsia="仿宋"/>
          <w:color w:val="auto"/>
          <w:sz w:val="28"/>
          <w:szCs w:val="28"/>
          <w:highlight w:val="none"/>
        </w:rPr>
        <w:t>使用谷歌浏览器。</w:t>
      </w:r>
    </w:p>
    <w:p w14:paraId="2CC02EA9">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（4）</w:t>
      </w:r>
      <w:r>
        <w:rPr>
          <w:rFonts w:ascii="仿宋" w:hAnsi="仿宋" w:eastAsia="仿宋"/>
          <w:color w:val="auto"/>
          <w:sz w:val="28"/>
          <w:szCs w:val="28"/>
          <w:highlight w:val="none"/>
        </w:rPr>
        <w:t>提前准备好麦克风、音响，摄像头，</w:t>
      </w:r>
      <w:r>
        <w:rPr>
          <w:rFonts w:hint="eastAsia" w:ascii="仿宋" w:hAnsi="仿宋" w:eastAsia="仿宋"/>
          <w:color w:val="auto"/>
          <w:sz w:val="28"/>
          <w:szCs w:val="28"/>
          <w:highlight w:val="none"/>
        </w:rPr>
        <w:t>并</w:t>
      </w:r>
      <w:r>
        <w:rPr>
          <w:rFonts w:ascii="仿宋" w:hAnsi="仿宋" w:eastAsia="仿宋"/>
          <w:color w:val="auto"/>
          <w:sz w:val="28"/>
          <w:szCs w:val="28"/>
          <w:highlight w:val="none"/>
        </w:rPr>
        <w:t>检查保证能够正常使用。</w:t>
      </w:r>
    </w:p>
    <w:p w14:paraId="7B7750DB">
      <w:pPr>
        <w:spacing w:line="500" w:lineRule="exact"/>
        <w:ind w:firstLine="560" w:firstLineChars="200"/>
        <w:outlineLvl w:val="9"/>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（5）</w:t>
      </w:r>
      <w:r>
        <w:rPr>
          <w:rFonts w:ascii="仿宋" w:hAnsi="仿宋" w:eastAsia="仿宋"/>
          <w:color w:val="auto"/>
          <w:sz w:val="28"/>
          <w:szCs w:val="28"/>
          <w:highlight w:val="none"/>
        </w:rPr>
        <w:t>操作系统至少win7以上，建议使用win10操作系统。</w:t>
      </w:r>
    </w:p>
    <w:p w14:paraId="4E8019B7">
      <w:pPr>
        <w:spacing w:line="500" w:lineRule="exact"/>
        <w:ind w:firstLine="560" w:firstLineChars="200"/>
        <w:rPr>
          <w:rFonts w:ascii="仿宋" w:hAnsi="仿宋" w:eastAsia="仿宋"/>
          <w:b/>
          <w:color w:val="auto"/>
          <w:sz w:val="28"/>
          <w:szCs w:val="28"/>
          <w:highlight w:val="none"/>
        </w:rPr>
      </w:pPr>
      <w:r>
        <w:rPr>
          <w:rFonts w:hint="eastAsia" w:ascii="仿宋" w:hAnsi="仿宋" w:eastAsia="仿宋" w:cs="宋体"/>
          <w:bCs/>
          <w:color w:val="auto"/>
          <w:sz w:val="28"/>
          <w:szCs w:val="28"/>
          <w:highlight w:val="none"/>
        </w:rPr>
        <w:t>（6）供应商应当通过“苏采云”系统提交电子响应文件，响应文件不得超过150M。</w:t>
      </w:r>
    </w:p>
    <w:p w14:paraId="68F4BD40">
      <w:pPr>
        <w:spacing w:line="500" w:lineRule="exact"/>
        <w:ind w:firstLine="565" w:firstLineChars="202"/>
        <w:rPr>
          <w:rFonts w:hint="eastAsia"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rPr>
        <w:t>2. 磋商</w:t>
      </w:r>
      <w:r>
        <w:rPr>
          <w:rFonts w:ascii="仿宋" w:hAnsi="仿宋" w:eastAsia="仿宋" w:cs="宋体"/>
          <w:color w:val="auto"/>
          <w:sz w:val="28"/>
          <w:szCs w:val="28"/>
          <w:highlight w:val="none"/>
        </w:rPr>
        <w:t>保证金</w:t>
      </w:r>
      <w:r>
        <w:rPr>
          <w:rFonts w:hint="eastAsia" w:ascii="仿宋" w:hAnsi="仿宋" w:eastAsia="仿宋" w:cs="宋体"/>
          <w:color w:val="auto"/>
          <w:sz w:val="28"/>
          <w:szCs w:val="28"/>
          <w:highlight w:val="none"/>
        </w:rPr>
        <w:t>及履约保证金</w:t>
      </w:r>
      <w:r>
        <w:rPr>
          <w:rFonts w:ascii="仿宋" w:hAnsi="仿宋" w:eastAsia="仿宋" w:cs="宋体"/>
          <w:color w:val="auto"/>
          <w:sz w:val="28"/>
          <w:szCs w:val="28"/>
          <w:highlight w:val="none"/>
        </w:rPr>
        <w:t>：免收</w:t>
      </w:r>
      <w:r>
        <w:rPr>
          <w:rFonts w:hint="eastAsia" w:ascii="仿宋" w:hAnsi="仿宋" w:eastAsia="仿宋" w:cs="宋体"/>
          <w:color w:val="auto"/>
          <w:sz w:val="28"/>
          <w:szCs w:val="28"/>
          <w:highlight w:val="none"/>
          <w:lang w:eastAsia="zh-CN"/>
        </w:rPr>
        <w:t>。</w:t>
      </w:r>
    </w:p>
    <w:p w14:paraId="20A7F8CA">
      <w:pPr>
        <w:spacing w:line="500" w:lineRule="exact"/>
        <w:ind w:firstLine="565" w:firstLineChars="202"/>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3.</w:t>
      </w:r>
      <w:r>
        <w:rPr>
          <w:rFonts w:hint="eastAsia" w:ascii="仿宋" w:hAnsi="仿宋" w:eastAsia="仿宋" w:cs="宋体"/>
          <w:color w:val="auto"/>
          <w:kern w:val="0"/>
          <w:sz w:val="28"/>
          <w:szCs w:val="28"/>
          <w:highlight w:val="none"/>
        </w:rPr>
        <w:t>本项目</w:t>
      </w:r>
      <w:r>
        <w:rPr>
          <w:rFonts w:hint="eastAsia" w:ascii="仿宋" w:hAnsi="仿宋" w:eastAsia="仿宋"/>
          <w:color w:val="auto"/>
          <w:sz w:val="28"/>
          <w:szCs w:val="28"/>
          <w:highlight w:val="none"/>
        </w:rPr>
        <w:t>为了保证响应供应商能全面了解本项目实际情况，避免</w:t>
      </w:r>
      <w:r>
        <w:rPr>
          <w:rFonts w:hint="eastAsia" w:ascii="仿宋" w:hAnsi="仿宋" w:eastAsia="仿宋"/>
          <w:color w:val="auto"/>
          <w:sz w:val="28"/>
          <w:szCs w:val="28"/>
          <w:highlight w:val="none"/>
          <w:lang w:val="en-US" w:eastAsia="zh-CN"/>
        </w:rPr>
        <w:t>盲目</w:t>
      </w:r>
      <w:r>
        <w:rPr>
          <w:rFonts w:hint="eastAsia" w:ascii="仿宋" w:hAnsi="仿宋" w:eastAsia="仿宋"/>
          <w:color w:val="auto"/>
          <w:sz w:val="28"/>
          <w:szCs w:val="28"/>
          <w:highlight w:val="none"/>
        </w:rPr>
        <w:t>投标，特别提醒所有响应供应商需自行组织人员踏勘现场，踏勘前与采购人联系预约，自行负责现场踏勘安全。如响应供应商选择不踏勘现场，造成项目需求理解偏差、</w:t>
      </w:r>
      <w:r>
        <w:rPr>
          <w:rFonts w:ascii="仿宋" w:hAnsi="仿宋" w:eastAsia="仿宋"/>
          <w:color w:val="auto"/>
          <w:sz w:val="28"/>
          <w:szCs w:val="28"/>
          <w:highlight w:val="none"/>
        </w:rPr>
        <w:t>方案编制失误</w:t>
      </w:r>
      <w:r>
        <w:rPr>
          <w:rFonts w:hint="eastAsia" w:ascii="仿宋" w:hAnsi="仿宋" w:eastAsia="仿宋"/>
          <w:color w:val="auto"/>
          <w:sz w:val="28"/>
          <w:szCs w:val="28"/>
          <w:highlight w:val="none"/>
        </w:rPr>
        <w:t>或响应报价失误均由响应供应商自行承担；</w:t>
      </w:r>
      <w:r>
        <w:rPr>
          <w:rFonts w:ascii="仿宋" w:hAnsi="仿宋" w:eastAsia="仿宋"/>
          <w:color w:val="auto"/>
          <w:sz w:val="28"/>
          <w:szCs w:val="28"/>
          <w:highlight w:val="none"/>
        </w:rPr>
        <w:t>因</w:t>
      </w:r>
      <w:r>
        <w:rPr>
          <w:rFonts w:hint="eastAsia" w:ascii="仿宋" w:hAnsi="仿宋" w:eastAsia="仿宋"/>
          <w:color w:val="auto"/>
          <w:sz w:val="28"/>
          <w:szCs w:val="28"/>
          <w:highlight w:val="none"/>
        </w:rPr>
        <w:t>响应供应商</w:t>
      </w:r>
      <w:r>
        <w:rPr>
          <w:rFonts w:ascii="仿宋" w:hAnsi="仿宋" w:eastAsia="仿宋"/>
          <w:color w:val="auto"/>
          <w:sz w:val="28"/>
          <w:szCs w:val="28"/>
          <w:highlight w:val="none"/>
        </w:rPr>
        <w:t>自身不能参加现场勘察或现场踏勘不全面的，不得因此提出修改报价或履约过程中提出索赔等要求。</w:t>
      </w:r>
    </w:p>
    <w:p w14:paraId="796263F6">
      <w:pPr>
        <w:pStyle w:val="6"/>
        <w:spacing w:after="0" w:line="500" w:lineRule="exact"/>
        <w:ind w:firstLine="560" w:firstLineChars="200"/>
        <w:outlineLvl w:val="1"/>
        <w:rPr>
          <w:rFonts w:ascii="黑体" w:hAnsi="黑体" w:eastAsia="黑体"/>
          <w:color w:val="auto"/>
          <w:sz w:val="28"/>
          <w:szCs w:val="28"/>
          <w:highlight w:val="none"/>
        </w:rPr>
      </w:pPr>
      <w:bookmarkStart w:id="30" w:name="_Toc28359095"/>
      <w:bookmarkStart w:id="31" w:name="_Toc35393805"/>
      <w:bookmarkStart w:id="32" w:name="_Toc28359018"/>
      <w:bookmarkStart w:id="33" w:name="_Toc35393636"/>
      <w:bookmarkStart w:id="34" w:name="_Toc24238"/>
      <w:r>
        <w:rPr>
          <w:rFonts w:hint="eastAsia" w:ascii="黑体" w:hAnsi="黑体" w:eastAsia="黑体"/>
          <w:color w:val="auto"/>
          <w:sz w:val="28"/>
          <w:szCs w:val="28"/>
          <w:highlight w:val="none"/>
        </w:rPr>
        <w:t>七、凡对本次采购提出询问，请按</w:t>
      </w:r>
      <w:r>
        <w:rPr>
          <w:rFonts w:ascii="黑体" w:hAnsi="黑体" w:eastAsia="黑体"/>
          <w:color w:val="auto"/>
          <w:sz w:val="28"/>
          <w:szCs w:val="28"/>
          <w:highlight w:val="none"/>
        </w:rPr>
        <w:t>以下方式</w:t>
      </w:r>
      <w:r>
        <w:rPr>
          <w:rFonts w:hint="eastAsia" w:ascii="黑体" w:hAnsi="黑体" w:eastAsia="黑体"/>
          <w:color w:val="auto"/>
          <w:sz w:val="28"/>
          <w:szCs w:val="28"/>
          <w:highlight w:val="none"/>
        </w:rPr>
        <w:t>联系。</w:t>
      </w:r>
      <w:bookmarkEnd w:id="30"/>
      <w:bookmarkEnd w:id="31"/>
      <w:bookmarkEnd w:id="32"/>
      <w:bookmarkEnd w:id="33"/>
      <w:bookmarkEnd w:id="34"/>
    </w:p>
    <w:p w14:paraId="15048587">
      <w:pPr>
        <w:spacing w:line="500" w:lineRule="exact"/>
        <w:ind w:firstLine="540"/>
        <w:outlineLvl w:val="9"/>
        <w:rPr>
          <w:rFonts w:ascii="仿宋" w:hAnsi="仿宋" w:eastAsia="仿宋" w:cs="宋体"/>
          <w:color w:val="auto"/>
          <w:sz w:val="28"/>
          <w:szCs w:val="28"/>
          <w:highlight w:val="none"/>
        </w:rPr>
      </w:pPr>
      <w:bookmarkStart w:id="35" w:name="_Toc35393806"/>
      <w:bookmarkStart w:id="36" w:name="_Toc28359096"/>
      <w:bookmarkStart w:id="37" w:name="_Toc35393637"/>
      <w:bookmarkStart w:id="38" w:name="_Toc28359019"/>
      <w:r>
        <w:rPr>
          <w:rFonts w:hint="eastAsia" w:ascii="仿宋" w:hAnsi="仿宋" w:eastAsia="仿宋" w:cs="宋体"/>
          <w:color w:val="auto"/>
          <w:sz w:val="28"/>
          <w:szCs w:val="28"/>
          <w:highlight w:val="none"/>
        </w:rPr>
        <w:t>1. 采购人信息</w:t>
      </w:r>
      <w:bookmarkEnd w:id="35"/>
      <w:bookmarkEnd w:id="36"/>
      <w:bookmarkEnd w:id="37"/>
      <w:bookmarkEnd w:id="38"/>
    </w:p>
    <w:p w14:paraId="6F05FEAD">
      <w:pPr>
        <w:spacing w:line="500" w:lineRule="exact"/>
        <w:ind w:left="1129" w:leftChars="371" w:hanging="350" w:hangingChars="125"/>
        <w:jc w:val="left"/>
        <w:outlineLvl w:val="9"/>
        <w:rPr>
          <w:rFonts w:hint="default" w:ascii="仿宋" w:hAnsi="仿宋" w:eastAsia="仿宋"/>
          <w:color w:val="auto"/>
          <w:sz w:val="28"/>
          <w:szCs w:val="28"/>
          <w:highlight w:val="none"/>
          <w:u w:val="none"/>
          <w:lang w:val="en-US" w:eastAsia="zh-CN"/>
        </w:rPr>
      </w:pPr>
      <w:bookmarkStart w:id="39" w:name="_Toc35393638"/>
      <w:bookmarkStart w:id="40" w:name="_Toc35393807"/>
      <w:bookmarkStart w:id="41" w:name="_Toc28359097"/>
      <w:bookmarkStart w:id="42" w:name="_Toc28359020"/>
      <w:r>
        <w:rPr>
          <w:rFonts w:hint="eastAsia" w:ascii="仿宋" w:hAnsi="仿宋" w:eastAsia="仿宋"/>
          <w:color w:val="auto"/>
          <w:sz w:val="28"/>
          <w:szCs w:val="28"/>
          <w:highlight w:val="none"/>
        </w:rPr>
        <w:t xml:space="preserve">名    </w:t>
      </w:r>
      <w:r>
        <w:rPr>
          <w:rFonts w:hint="eastAsia" w:ascii="仿宋" w:hAnsi="仿宋" w:eastAsia="仿宋"/>
          <w:color w:val="auto"/>
          <w:sz w:val="28"/>
          <w:szCs w:val="28"/>
          <w:highlight w:val="none"/>
          <w:u w:val="none"/>
        </w:rPr>
        <w:t>称：</w:t>
      </w:r>
      <w:r>
        <w:rPr>
          <w:rFonts w:hint="eastAsia" w:ascii="仿宋" w:hAnsi="仿宋" w:eastAsia="仿宋"/>
          <w:color w:val="auto"/>
          <w:sz w:val="28"/>
          <w:szCs w:val="28"/>
          <w:highlight w:val="none"/>
          <w:u w:val="none"/>
          <w:lang w:val="en-US" w:eastAsia="zh-CN"/>
        </w:rPr>
        <w:t>如皋市东陈镇人民政府</w:t>
      </w:r>
    </w:p>
    <w:p w14:paraId="3D70F98C">
      <w:pPr>
        <w:spacing w:line="500" w:lineRule="exact"/>
        <w:ind w:left="1129" w:leftChars="371" w:hanging="350" w:hangingChars="125"/>
        <w:jc w:val="left"/>
        <w:outlineLvl w:val="9"/>
        <w:rPr>
          <w:rFonts w:ascii="仿宋" w:hAnsi="仿宋" w:eastAsia="仿宋"/>
          <w:color w:val="auto"/>
          <w:sz w:val="28"/>
          <w:szCs w:val="28"/>
          <w:highlight w:val="none"/>
          <w:u w:val="none"/>
        </w:rPr>
      </w:pPr>
      <w:r>
        <w:rPr>
          <w:rFonts w:hint="eastAsia" w:ascii="仿宋" w:hAnsi="仿宋" w:eastAsia="仿宋"/>
          <w:color w:val="auto"/>
          <w:sz w:val="28"/>
          <w:szCs w:val="28"/>
          <w:highlight w:val="none"/>
          <w:u w:val="none"/>
        </w:rPr>
        <w:t>地    址：江苏省南通如皋市东陈镇府前街88号</w:t>
      </w:r>
    </w:p>
    <w:p w14:paraId="49BFFDAC">
      <w:pPr>
        <w:spacing w:line="500" w:lineRule="exact"/>
        <w:ind w:left="1129" w:leftChars="371" w:hanging="350" w:hangingChars="125"/>
        <w:jc w:val="left"/>
        <w:outlineLvl w:val="9"/>
        <w:rPr>
          <w:rFonts w:hint="default"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项目经办人姓名：李建峰</w:t>
      </w:r>
    </w:p>
    <w:p w14:paraId="4ECC4335">
      <w:pPr>
        <w:spacing w:line="500" w:lineRule="exact"/>
        <w:ind w:left="1129" w:leftChars="371" w:hanging="350" w:hangingChars="125"/>
        <w:jc w:val="left"/>
        <w:outlineLvl w:val="9"/>
        <w:rPr>
          <w:rFonts w:hint="default"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u w:val="none"/>
          <w:lang w:val="en-US" w:eastAsia="zh-CN"/>
        </w:rPr>
        <w:t>项目经办人联系方式：15371970105</w:t>
      </w:r>
    </w:p>
    <w:p w14:paraId="2FB12BB0">
      <w:pPr>
        <w:spacing w:line="500" w:lineRule="exact"/>
        <w:ind w:firstLine="540"/>
        <w:outlineLvl w:val="9"/>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2. 采购代理机构信息</w:t>
      </w:r>
      <w:bookmarkEnd w:id="39"/>
      <w:bookmarkEnd w:id="40"/>
      <w:bookmarkEnd w:id="41"/>
      <w:bookmarkEnd w:id="42"/>
    </w:p>
    <w:p w14:paraId="4E469A09">
      <w:pPr>
        <w:spacing w:line="500" w:lineRule="exact"/>
        <w:ind w:firstLine="840" w:firstLineChars="30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名    称：</w:t>
      </w:r>
      <w:r>
        <w:rPr>
          <w:rFonts w:hint="eastAsia" w:ascii="仿宋" w:hAnsi="仿宋" w:eastAsia="仿宋"/>
          <w:color w:val="auto"/>
          <w:sz w:val="28"/>
          <w:szCs w:val="28"/>
          <w:highlight w:val="none"/>
          <w:lang w:eastAsia="zh-CN"/>
        </w:rPr>
        <w:t>南通中江工程项目管理有限公司</w:t>
      </w:r>
    </w:p>
    <w:p w14:paraId="54690728">
      <w:pPr>
        <w:spacing w:line="500" w:lineRule="exact"/>
        <w:ind w:firstLine="840" w:firstLineChars="300"/>
        <w:rPr>
          <w:rFonts w:ascii="仿宋" w:hAnsi="仿宋" w:eastAsia="仿宋"/>
          <w:color w:val="auto"/>
          <w:sz w:val="28"/>
          <w:szCs w:val="28"/>
          <w:highlight w:val="none"/>
        </w:rPr>
      </w:pPr>
      <w:r>
        <w:rPr>
          <w:rFonts w:hint="eastAsia" w:ascii="仿宋" w:hAnsi="仿宋" w:eastAsia="仿宋"/>
          <w:color w:val="auto"/>
          <w:sz w:val="28"/>
          <w:szCs w:val="28"/>
          <w:highlight w:val="none"/>
        </w:rPr>
        <w:t>地　　址：如皋市如城街道惠政路269号纪庄大楼9层</w:t>
      </w:r>
    </w:p>
    <w:p w14:paraId="68581522">
      <w:pPr>
        <w:spacing w:line="500" w:lineRule="exact"/>
        <w:ind w:firstLine="840" w:firstLineChars="30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项目经办人姓名：</w:t>
      </w:r>
      <w:r>
        <w:rPr>
          <w:rFonts w:hint="eastAsia" w:ascii="仿宋" w:hAnsi="仿宋" w:eastAsia="仿宋"/>
          <w:color w:val="auto"/>
          <w:sz w:val="28"/>
          <w:szCs w:val="28"/>
          <w:highlight w:val="none"/>
          <w:lang w:val="en-US" w:eastAsia="zh-CN"/>
        </w:rPr>
        <w:t xml:space="preserve">魏书丽 </w:t>
      </w:r>
    </w:p>
    <w:p w14:paraId="4BCA64A3">
      <w:pPr>
        <w:spacing w:line="500" w:lineRule="exact"/>
        <w:ind w:firstLine="840" w:firstLineChars="300"/>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项目经办人联系方式：</w:t>
      </w:r>
      <w:r>
        <w:rPr>
          <w:rFonts w:hint="eastAsia" w:ascii="仿宋" w:hAnsi="仿宋" w:eastAsia="仿宋"/>
          <w:color w:val="auto"/>
          <w:sz w:val="28"/>
          <w:szCs w:val="28"/>
          <w:highlight w:val="none"/>
          <w:lang w:val="en-US" w:eastAsia="zh-CN"/>
        </w:rPr>
        <w:t>15051237698</w:t>
      </w:r>
    </w:p>
    <w:p w14:paraId="0D3F512F">
      <w:pPr>
        <w:spacing w:line="500" w:lineRule="exact"/>
        <w:ind w:firstLine="840" w:firstLineChars="300"/>
        <w:rPr>
          <w:rFonts w:ascii="仿宋" w:hAnsi="仿宋" w:eastAsia="仿宋"/>
          <w:color w:val="auto"/>
          <w:sz w:val="28"/>
          <w:szCs w:val="28"/>
          <w:highlight w:val="none"/>
          <w:u w:val="single"/>
        </w:rPr>
      </w:pPr>
    </w:p>
    <w:p w14:paraId="1AE28DD1">
      <w:pPr>
        <w:adjustRightInd w:val="0"/>
        <w:snapToGrid w:val="0"/>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附件:</w:t>
      </w:r>
    </w:p>
    <w:p w14:paraId="1AB05821">
      <w:pPr>
        <w:keepNext w:val="0"/>
        <w:keepLines w:val="0"/>
        <w:pageBreakBefore w:val="0"/>
        <w:widowControl w:val="0"/>
        <w:kinsoku/>
        <w:wordWrap/>
        <w:overflowPunct/>
        <w:topLinePunct w:val="0"/>
        <w:autoSpaceDE/>
        <w:autoSpaceDN/>
        <w:bidi w:val="0"/>
        <w:adjustRightInd w:val="0"/>
        <w:snapToGrid w:val="0"/>
        <w:spacing w:line="500" w:lineRule="exact"/>
        <w:ind w:firstLine="562" w:firstLineChars="200"/>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rPr>
        <w:t>1.</w:t>
      </w:r>
      <w:r>
        <w:rPr>
          <w:rFonts w:hint="eastAsia" w:ascii="仿宋" w:hAnsi="仿宋" w:eastAsia="仿宋"/>
          <w:b/>
          <w:color w:val="auto"/>
          <w:sz w:val="28"/>
          <w:szCs w:val="28"/>
          <w:highlight w:val="none"/>
          <w:lang w:eastAsia="zh-CN"/>
        </w:rPr>
        <w:t>办理政采贷和履约保函（保险）告知函</w:t>
      </w:r>
    </w:p>
    <w:p w14:paraId="7FBD5726">
      <w:pPr>
        <w:keepNext w:val="0"/>
        <w:keepLines w:val="0"/>
        <w:pageBreakBefore w:val="0"/>
        <w:widowControl w:val="0"/>
        <w:kinsoku/>
        <w:wordWrap/>
        <w:overflowPunct/>
        <w:topLinePunct w:val="0"/>
        <w:autoSpaceDE/>
        <w:autoSpaceDN/>
        <w:bidi w:val="0"/>
        <w:adjustRightInd w:val="0"/>
        <w:snapToGrid w:val="0"/>
        <w:spacing w:line="500" w:lineRule="exact"/>
        <w:ind w:firstLine="562" w:firstLineChars="200"/>
        <w:rPr>
          <w:rFonts w:ascii="仿宋" w:hAnsi="仿宋" w:eastAsia="仿宋"/>
          <w:b/>
          <w:color w:val="auto"/>
          <w:sz w:val="28"/>
          <w:szCs w:val="28"/>
          <w:highlight w:val="none"/>
        </w:rPr>
      </w:pPr>
      <w:r>
        <w:rPr>
          <w:rFonts w:hint="eastAsia" w:ascii="仿宋" w:hAnsi="仿宋" w:eastAsia="仿宋"/>
          <w:b/>
          <w:color w:val="auto"/>
          <w:sz w:val="28"/>
          <w:szCs w:val="28"/>
          <w:highlight w:val="none"/>
        </w:rPr>
        <w:t>2.磋商</w:t>
      </w:r>
      <w:r>
        <w:rPr>
          <w:rFonts w:ascii="仿宋" w:hAnsi="仿宋" w:eastAsia="仿宋"/>
          <w:b/>
          <w:color w:val="auto"/>
          <w:sz w:val="28"/>
          <w:szCs w:val="28"/>
          <w:highlight w:val="none"/>
        </w:rPr>
        <w:t>文件</w:t>
      </w:r>
    </w:p>
    <w:p w14:paraId="119B4D16">
      <w:pPr>
        <w:pStyle w:val="25"/>
        <w:keepNext w:val="0"/>
        <w:keepLines w:val="0"/>
        <w:pageBreakBefore w:val="0"/>
        <w:widowControl w:val="0"/>
        <w:kinsoku/>
        <w:wordWrap/>
        <w:overflowPunct/>
        <w:topLinePunct w:val="0"/>
        <w:autoSpaceDE/>
        <w:autoSpaceDN/>
        <w:bidi w:val="0"/>
        <w:adjustRightInd w:val="0"/>
        <w:spacing w:before="0" w:after="0" w:line="500" w:lineRule="exact"/>
        <w:ind w:firstLine="562" w:firstLineChars="200"/>
        <w:rPr>
          <w:rFonts w:ascii="仿宋" w:hAnsi="仿宋" w:eastAsia="仿宋"/>
          <w:b/>
          <w:color w:val="auto"/>
          <w:sz w:val="28"/>
          <w:szCs w:val="28"/>
          <w:highlight w:val="none"/>
        </w:rPr>
      </w:pPr>
      <w:r>
        <w:rPr>
          <w:rFonts w:hint="eastAsia" w:ascii="仿宋" w:hAnsi="仿宋" w:eastAsia="仿宋"/>
          <w:b/>
          <w:color w:val="auto"/>
          <w:sz w:val="28"/>
          <w:szCs w:val="28"/>
          <w:highlight w:val="none"/>
        </w:rPr>
        <w:t>3.采购人</w:t>
      </w:r>
      <w:r>
        <w:rPr>
          <w:rFonts w:ascii="仿宋" w:hAnsi="仿宋" w:eastAsia="仿宋"/>
          <w:b/>
          <w:color w:val="auto"/>
          <w:sz w:val="28"/>
          <w:szCs w:val="28"/>
          <w:highlight w:val="none"/>
        </w:rPr>
        <w:t>信用承诺</w:t>
      </w:r>
    </w:p>
    <w:p w14:paraId="5D99BFDF">
      <w:pPr>
        <w:pStyle w:val="25"/>
        <w:spacing w:line="240" w:lineRule="auto"/>
        <w:ind w:firstLine="0"/>
        <w:jc w:val="center"/>
        <w:outlineLvl w:val="0"/>
        <w:rPr>
          <w:rFonts w:ascii="方正小标宋简体" w:eastAsia="方正小标宋简体"/>
          <w:bCs/>
          <w:color w:val="auto"/>
          <w:sz w:val="32"/>
          <w:szCs w:val="32"/>
          <w:highlight w:val="none"/>
        </w:rPr>
      </w:pPr>
      <w:r>
        <w:rPr>
          <w:rFonts w:ascii="仿宋" w:hAnsi="仿宋" w:eastAsia="仿宋"/>
          <w:b/>
          <w:color w:val="auto"/>
          <w:sz w:val="28"/>
          <w:szCs w:val="28"/>
          <w:highlight w:val="none"/>
        </w:rPr>
        <w:br w:type="page"/>
      </w:r>
      <w:bookmarkStart w:id="43" w:name="_Toc14146"/>
      <w:r>
        <w:rPr>
          <w:rFonts w:hint="eastAsia" w:ascii="方正小标宋简体" w:eastAsia="方正小标宋简体"/>
          <w:bCs/>
          <w:color w:val="auto"/>
          <w:sz w:val="32"/>
          <w:szCs w:val="32"/>
          <w:highlight w:val="none"/>
        </w:rPr>
        <w:t>第2章 磋商须知</w:t>
      </w:r>
      <w:bookmarkEnd w:id="43"/>
    </w:p>
    <w:p w14:paraId="23221727">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color w:val="auto"/>
          <w:sz w:val="28"/>
          <w:szCs w:val="28"/>
          <w:highlight w:val="none"/>
        </w:rPr>
      </w:pPr>
      <w:bookmarkStart w:id="44" w:name="_Toc15387"/>
      <w:r>
        <w:rPr>
          <w:rFonts w:hint="eastAsia" w:ascii="黑体" w:hAnsi="黑体" w:eastAsia="黑体"/>
          <w:color w:val="auto"/>
          <w:sz w:val="28"/>
          <w:szCs w:val="28"/>
          <w:highlight w:val="none"/>
        </w:rPr>
        <w:t>1. 参加磋商费用</w:t>
      </w:r>
      <w:bookmarkEnd w:id="44"/>
    </w:p>
    <w:p w14:paraId="5B98A799">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参加竞争性磋商活动的供应商，应自行承担所有与准备和参加竞争性磋商活动有关的费用，无论磋商过程中做法和结果如何，采购人或者代理机构在任何情况下均无义务和责任承担这些费用。</w:t>
      </w:r>
    </w:p>
    <w:p w14:paraId="422BDA37">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color w:val="auto"/>
          <w:sz w:val="28"/>
          <w:szCs w:val="28"/>
          <w:highlight w:val="none"/>
        </w:rPr>
      </w:pPr>
      <w:bookmarkStart w:id="45" w:name="_Toc30979"/>
      <w:r>
        <w:rPr>
          <w:rFonts w:hint="eastAsia" w:ascii="黑体" w:hAnsi="黑体" w:eastAsia="黑体"/>
          <w:color w:val="auto"/>
          <w:sz w:val="28"/>
          <w:szCs w:val="28"/>
          <w:highlight w:val="none"/>
        </w:rPr>
        <w:t>2. 磋商文件的约束力</w:t>
      </w:r>
      <w:bookmarkEnd w:id="45"/>
    </w:p>
    <w:p w14:paraId="092CBD09">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color w:val="auto"/>
          <w:sz w:val="28"/>
          <w:szCs w:val="28"/>
          <w:highlight w:val="none"/>
        </w:rPr>
        <w:t>“苏采云”系统相关要求</w:t>
      </w:r>
      <w:r>
        <w:rPr>
          <w:rFonts w:hint="eastAsia" w:ascii="仿宋" w:hAnsi="仿宋" w:eastAsia="仿宋"/>
          <w:color w:val="auto"/>
          <w:sz w:val="28"/>
          <w:szCs w:val="28"/>
          <w:highlight w:val="none"/>
        </w:rPr>
        <w:t>等部分组成。</w:t>
      </w:r>
    </w:p>
    <w:p w14:paraId="3BF1E03F">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p>
    <w:p w14:paraId="1860FC1E">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p>
    <w:p w14:paraId="09ECCBFD">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color w:val="auto"/>
          <w:sz w:val="28"/>
          <w:szCs w:val="28"/>
          <w:highlight w:val="none"/>
        </w:rPr>
      </w:pPr>
      <w:bookmarkStart w:id="46" w:name="_Toc14943"/>
      <w:r>
        <w:rPr>
          <w:rFonts w:hint="eastAsia" w:ascii="黑体" w:hAnsi="黑体" w:eastAsia="黑体"/>
          <w:color w:val="auto"/>
          <w:sz w:val="28"/>
          <w:szCs w:val="28"/>
          <w:highlight w:val="none"/>
        </w:rPr>
        <w:t>3.响应文件编制</w:t>
      </w:r>
      <w:bookmarkEnd w:id="46"/>
    </w:p>
    <w:p w14:paraId="26D011B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color w:val="auto"/>
          <w:sz w:val="28"/>
          <w:szCs w:val="28"/>
          <w:highlight w:val="none"/>
        </w:rPr>
        <w:t>。</w:t>
      </w:r>
    </w:p>
    <w:p w14:paraId="09AB5C2D">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除技术性能另有规定外，响应文件所使用的度量衡单位，均须采用国家法定计量单位</w:t>
      </w:r>
      <w:r>
        <w:rPr>
          <w:rFonts w:ascii="仿宋" w:hAnsi="仿宋" w:eastAsia="仿宋"/>
          <w:color w:val="auto"/>
          <w:sz w:val="28"/>
          <w:szCs w:val="28"/>
          <w:highlight w:val="none"/>
        </w:rPr>
        <w:t>。</w:t>
      </w:r>
    </w:p>
    <w:p w14:paraId="17337272">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bCs/>
          <w:color w:val="auto"/>
          <w:sz w:val="28"/>
          <w:szCs w:val="28"/>
          <w:highlight w:val="none"/>
        </w:rPr>
        <w:t>3.3 供应商编写的响应文件应包括资格审查文件、商务技术文件、报价文件等部分，具体按照“第6章 响应文件组成”要求编写</w:t>
      </w:r>
      <w:r>
        <w:rPr>
          <w:rFonts w:ascii="仿宋" w:hAnsi="仿宋" w:eastAsia="仿宋"/>
          <w:color w:val="auto"/>
          <w:sz w:val="28"/>
          <w:szCs w:val="28"/>
          <w:highlight w:val="none"/>
        </w:rPr>
        <w:t>。</w:t>
      </w:r>
    </w:p>
    <w:p w14:paraId="77A5FF20">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color w:val="auto"/>
          <w:sz w:val="28"/>
          <w:szCs w:val="28"/>
          <w:highlight w:val="none"/>
        </w:rPr>
      </w:pPr>
      <w:bookmarkStart w:id="47" w:name="_Toc16063"/>
      <w:r>
        <w:rPr>
          <w:rFonts w:hint="eastAsia" w:ascii="黑体" w:hAnsi="黑体" w:eastAsia="黑体"/>
          <w:color w:val="auto"/>
          <w:sz w:val="28"/>
          <w:szCs w:val="28"/>
          <w:highlight w:val="none"/>
        </w:rPr>
        <w:t>4.响应文件提交、撤回和修改</w:t>
      </w:r>
      <w:bookmarkEnd w:id="47"/>
    </w:p>
    <w:p w14:paraId="4D775341">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color w:val="auto"/>
          <w:sz w:val="28"/>
          <w:szCs w:val="28"/>
          <w:highlight w:val="none"/>
        </w:rPr>
      </w:pPr>
      <w:r>
        <w:rPr>
          <w:rFonts w:hint="eastAsia" w:ascii="仿宋" w:hAnsi="仿宋" w:eastAsia="仿宋"/>
          <w:color w:val="auto"/>
          <w:sz w:val="28"/>
          <w:szCs w:val="28"/>
          <w:highlight w:val="none"/>
        </w:rPr>
        <w:t>4.1 供应商</w:t>
      </w:r>
      <w:r>
        <w:rPr>
          <w:rFonts w:hint="eastAsia" w:ascii="仿宋" w:hAnsi="仿宋" w:eastAsia="仿宋"/>
          <w:bCs/>
          <w:color w:val="auto"/>
          <w:sz w:val="28"/>
          <w:szCs w:val="28"/>
          <w:highlight w:val="none"/>
        </w:rPr>
        <w:t>对CA证书妥善保管，如被他人盗用投标，因此带来的结果均由供应商自行承担。</w:t>
      </w:r>
    </w:p>
    <w:p w14:paraId="1697DB96">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4.2 </w:t>
      </w:r>
      <w:r>
        <w:rPr>
          <w:rFonts w:hint="eastAsia" w:ascii="仿宋" w:hAnsi="仿宋" w:eastAsia="仿宋"/>
          <w:bCs/>
          <w:color w:val="auto"/>
          <w:sz w:val="28"/>
          <w:szCs w:val="28"/>
          <w:highlight w:val="none"/>
        </w:rPr>
        <w:t>供应商应当按照采购文件和“苏采云”系统的要求编制并加密响应文件。</w:t>
      </w:r>
    </w:p>
    <w:p w14:paraId="13E0CFE5">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color w:val="auto"/>
          <w:sz w:val="28"/>
          <w:szCs w:val="28"/>
          <w:highlight w:val="none"/>
        </w:rPr>
      </w:pPr>
      <w:r>
        <w:rPr>
          <w:rFonts w:hint="eastAsia" w:ascii="仿宋" w:hAnsi="仿宋" w:eastAsia="仿宋"/>
          <w:bCs/>
          <w:color w:val="auto"/>
          <w:sz w:val="28"/>
          <w:szCs w:val="28"/>
          <w:highlight w:val="none"/>
        </w:rPr>
        <w:t>4.3 供应商应当对采购文件提出的实质性要求和条件作出实质性响应，并在电子投标系统逐条应答。</w:t>
      </w:r>
    </w:p>
    <w:p w14:paraId="395DC4BB">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color w:val="auto"/>
          <w:sz w:val="28"/>
          <w:szCs w:val="28"/>
          <w:highlight w:val="none"/>
        </w:rPr>
      </w:pPr>
      <w:r>
        <w:rPr>
          <w:rFonts w:hint="eastAsia" w:ascii="仿宋" w:hAnsi="仿宋" w:eastAsia="仿宋"/>
          <w:bCs/>
          <w:color w:val="auto"/>
          <w:sz w:val="28"/>
          <w:szCs w:val="28"/>
          <w:highlight w:val="none"/>
        </w:rPr>
        <w:t>4.4 供应商应对要求提供的资格证明文件（如资质证书、资格证书）、技术资料（如白皮书、彩页、手册、检测报告等）扫描上传至投标系统。</w:t>
      </w:r>
    </w:p>
    <w:p w14:paraId="6BE19E07">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bCs/>
          <w:color w:val="auto"/>
          <w:sz w:val="28"/>
          <w:szCs w:val="28"/>
          <w:highlight w:val="none"/>
        </w:rPr>
        <w:t>4.5 供应商须通过“苏采云”系统提供的政府采购客户端工具（使用“CA数字证书”）加盖电子签章，并对电子响应文件加密。未按规定加密的响应文件，“苏采云”系统拒收并提示。</w:t>
      </w:r>
    </w:p>
    <w:p w14:paraId="2D7E31B5">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color w:val="auto"/>
          <w:sz w:val="28"/>
          <w:szCs w:val="28"/>
          <w:highlight w:val="none"/>
        </w:rPr>
      </w:pPr>
      <w:r>
        <w:rPr>
          <w:rFonts w:hint="eastAsia" w:ascii="仿宋" w:hAnsi="仿宋" w:eastAsia="仿宋"/>
          <w:bCs/>
          <w:color w:val="auto"/>
          <w:sz w:val="28"/>
          <w:szCs w:val="28"/>
          <w:highlight w:val="none"/>
        </w:rPr>
        <w:t>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p>
    <w:p w14:paraId="32002A77">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color w:val="auto"/>
          <w:sz w:val="28"/>
          <w:szCs w:val="28"/>
          <w:highlight w:val="none"/>
        </w:rPr>
      </w:pPr>
      <w:r>
        <w:rPr>
          <w:rFonts w:hint="eastAsia" w:ascii="仿宋" w:hAnsi="仿宋" w:eastAsia="仿宋"/>
          <w:bCs/>
          <w:color w:val="auto"/>
          <w:sz w:val="28"/>
          <w:szCs w:val="28"/>
          <w:highlight w:val="none"/>
        </w:rPr>
        <w:t>4.7 供应商可在响应文件提交截止时间前，撤回其电子响应文件，具体操作方法见《</w:t>
      </w:r>
      <w:r>
        <w:rPr>
          <w:rFonts w:hint="eastAsia" w:ascii="仿宋" w:hAnsi="仿宋" w:eastAsia="仿宋"/>
          <w:color w:val="auto"/>
          <w:sz w:val="28"/>
          <w:szCs w:val="28"/>
          <w:highlight w:val="none"/>
        </w:rPr>
        <w:t>江苏省政府采购管理交易系统（苏采云）投标人操作手册</w:t>
      </w:r>
      <w:r>
        <w:rPr>
          <w:rFonts w:hint="eastAsia" w:ascii="仿宋" w:hAnsi="仿宋" w:eastAsia="仿宋"/>
          <w:bCs/>
          <w:color w:val="auto"/>
          <w:sz w:val="28"/>
          <w:szCs w:val="28"/>
          <w:highlight w:val="none"/>
        </w:rPr>
        <w:t>》。供应商撤回电子响应文件的，则认为其不再参与本项目磋商活动。</w:t>
      </w:r>
    </w:p>
    <w:p w14:paraId="62D9F5CF">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color w:val="auto"/>
          <w:sz w:val="28"/>
          <w:szCs w:val="28"/>
          <w:highlight w:val="none"/>
        </w:rPr>
      </w:pPr>
      <w:r>
        <w:rPr>
          <w:rFonts w:hint="eastAsia" w:ascii="仿宋" w:hAnsi="仿宋" w:eastAsia="仿宋"/>
          <w:bCs/>
          <w:color w:val="auto"/>
          <w:sz w:val="28"/>
          <w:szCs w:val="28"/>
          <w:highlight w:val="none"/>
        </w:rPr>
        <w:t>4.8供应商可在响应文件提交截止时间前，对其电子响应文件进行修改。在响应文件提交截止时间之后，供应商不得对其电子响应文件作任何修改。</w:t>
      </w:r>
    </w:p>
    <w:p w14:paraId="312311E0">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color w:val="auto"/>
          <w:sz w:val="28"/>
          <w:szCs w:val="28"/>
          <w:highlight w:val="none"/>
        </w:rPr>
      </w:pPr>
      <w:r>
        <w:rPr>
          <w:rFonts w:hint="eastAsia" w:ascii="仿宋" w:hAnsi="仿宋" w:eastAsia="仿宋"/>
          <w:bCs/>
          <w:color w:val="auto"/>
          <w:sz w:val="28"/>
          <w:szCs w:val="28"/>
          <w:highlight w:val="none"/>
        </w:rPr>
        <w:t>4.9 采购代理机构可以通过修改磋商文件，酌情延长响应文件提交截止时间。</w:t>
      </w:r>
    </w:p>
    <w:p w14:paraId="4844CF5D">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4.10 响应文件的有效期：从提交响应文件截止日起90天。</w:t>
      </w:r>
    </w:p>
    <w:p w14:paraId="2AF5500E">
      <w:pPr>
        <w:keepNext w:val="0"/>
        <w:keepLines w:val="0"/>
        <w:pageBreakBefore w:val="0"/>
        <w:widowControl w:val="0"/>
        <w:tabs>
          <w:tab w:val="left" w:pos="900"/>
        </w:tabs>
        <w:kinsoku/>
        <w:wordWrap/>
        <w:overflowPunct/>
        <w:topLinePunct w:val="0"/>
        <w:autoSpaceDE/>
        <w:autoSpaceDN/>
        <w:bidi w:val="0"/>
        <w:adjustRightInd/>
        <w:snapToGrid/>
        <w:spacing w:line="500" w:lineRule="exact"/>
        <w:ind w:left="0" w:leftChars="0" w:firstLine="560" w:firstLineChars="200"/>
        <w:textAlignment w:val="auto"/>
        <w:outlineLvl w:val="1"/>
        <w:rPr>
          <w:rFonts w:ascii="仿宋" w:hAnsi="仿宋" w:eastAsia="仿宋"/>
          <w:color w:val="auto"/>
          <w:sz w:val="28"/>
          <w:szCs w:val="28"/>
          <w:highlight w:val="none"/>
        </w:rPr>
      </w:pPr>
      <w:bookmarkStart w:id="48" w:name="_Toc1591"/>
      <w:r>
        <w:rPr>
          <w:rFonts w:hint="eastAsia" w:ascii="黑体" w:hAnsi="黑体" w:eastAsia="黑体"/>
          <w:color w:val="auto"/>
          <w:sz w:val="28"/>
          <w:szCs w:val="28"/>
          <w:highlight w:val="none"/>
        </w:rPr>
        <w:t>5. 磋商</w:t>
      </w:r>
      <w:bookmarkEnd w:id="48"/>
    </w:p>
    <w:p w14:paraId="1698D68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5.1 采购人或者代理机构将在竞争性磋商公告中规定的时间和地点组织竞争性磋商活动。</w:t>
      </w:r>
    </w:p>
    <w:p w14:paraId="2CEAF0D5">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color w:val="auto"/>
          <w:sz w:val="28"/>
          <w:szCs w:val="28"/>
          <w:highlight w:val="none"/>
        </w:rPr>
      </w:pPr>
      <w:r>
        <w:rPr>
          <w:rFonts w:hint="eastAsia" w:ascii="仿宋" w:hAnsi="仿宋" w:eastAsia="仿宋"/>
          <w:bCs/>
          <w:color w:val="auto"/>
          <w:sz w:val="28"/>
          <w:szCs w:val="28"/>
          <w:highlight w:val="none"/>
        </w:rPr>
        <w:t>5.2竞争性磋商开始前，供应商使用CA数字证书登录“苏采云”系统，并根据开标会议区发出响应文件解密的指令，在30分钟之内使用CA数字证书解密各自响应文件。</w:t>
      </w:r>
    </w:p>
    <w:p w14:paraId="6A7CB5F2">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Cs/>
          <w:color w:val="auto"/>
          <w:sz w:val="28"/>
          <w:szCs w:val="28"/>
          <w:highlight w:val="none"/>
        </w:rPr>
      </w:pPr>
      <w:r>
        <w:rPr>
          <w:rFonts w:hint="eastAsia" w:ascii="仿宋" w:hAnsi="仿宋" w:eastAsia="仿宋"/>
          <w:bCs/>
          <w:color w:val="auto"/>
          <w:sz w:val="28"/>
          <w:szCs w:val="28"/>
          <w:highlight w:val="none"/>
        </w:rPr>
        <w:t>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p>
    <w:p w14:paraId="0DAA592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bCs/>
          <w:color w:val="auto"/>
          <w:sz w:val="28"/>
          <w:szCs w:val="28"/>
          <w:highlight w:val="none"/>
        </w:rPr>
        <w:t>5.4因采购人原因或网上招投标平台发生故障，导致无法按时完成响应文件解密或评审工作无法进行的，可根据实际情况相应延迟解密时间或调整评审时间。</w:t>
      </w:r>
    </w:p>
    <w:p w14:paraId="37E6DE20">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5.5 磋商小组由政府采购评审专家、采购人代表组成。评审专家不得以评审专家身份参加本部门或本单位采购项目的评审。达到公开招标限额标准的项目，磋商小组应当由</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人以上单数组成。</w:t>
      </w:r>
    </w:p>
    <w:p w14:paraId="3379485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5.6 磋商小组对响应文件的有效性、完整性和响应程度进行审查。磋商小组在审查分为资格审查、符合性审查和综合评审。响应供应商未通过资格审查、符合性审查的，告知其具体原因。</w:t>
      </w:r>
    </w:p>
    <w:p w14:paraId="7CCC898B">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5.7 磋商小组审查时，可以通过视频会议，要求供应商对响应文件中含义不明确、同类问题表述不一致或者有明显文字和计算错误的内容等作出必要的澄清、说明或者更正。</w:t>
      </w:r>
    </w:p>
    <w:p w14:paraId="34F9A837">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hint="eastAsia" w:ascii="仿宋" w:hAnsi="仿宋" w:eastAsia="仿宋"/>
          <w:bCs/>
          <w:color w:val="auto"/>
          <w:sz w:val="28"/>
          <w:szCs w:val="28"/>
          <w:highlight w:val="none"/>
        </w:rPr>
        <w:t>接到澄清要求的供应商，应在磋商小组规定的时间内做出澄清，澄清的内容作为响应文件的补充部分，</w:t>
      </w:r>
      <w:r>
        <w:rPr>
          <w:rFonts w:hint="eastAsia" w:ascii="仿宋" w:hAnsi="仿宋" w:eastAsia="仿宋"/>
          <w:color w:val="auto"/>
          <w:sz w:val="28"/>
          <w:szCs w:val="28"/>
          <w:highlight w:val="none"/>
        </w:rPr>
        <w:t>但澄清、说明或者更正不得超出响应文件的范围或者改变响应文件的实质性内容。</w:t>
      </w:r>
    </w:p>
    <w:p w14:paraId="79D96205">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hint="eastAsia" w:ascii="仿宋" w:hAnsi="仿宋" w:eastAsia="仿宋"/>
          <w:bCs/>
          <w:color w:val="auto"/>
          <w:sz w:val="28"/>
          <w:szCs w:val="28"/>
          <w:highlight w:val="none"/>
        </w:rPr>
        <w:t>供应商在评审全过程中应保持通讯畅通，并安排专人与采购人或采购代理机构及磋商小组联系</w:t>
      </w:r>
      <w:r>
        <w:rPr>
          <w:rFonts w:ascii="仿宋" w:hAnsi="仿宋" w:eastAsia="仿宋"/>
          <w:color w:val="auto"/>
          <w:sz w:val="28"/>
          <w:szCs w:val="28"/>
          <w:highlight w:val="none"/>
        </w:rPr>
        <w:t>。</w:t>
      </w:r>
    </w:p>
    <w:p w14:paraId="7A5C1EF7">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p>
    <w:p w14:paraId="08790F3D">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 w:val="0"/>
          <w:bCs w:val="0"/>
          <w:color w:val="auto"/>
          <w:sz w:val="28"/>
          <w:szCs w:val="28"/>
          <w:highlight w:val="none"/>
        </w:rPr>
      </w:pPr>
      <w:r>
        <w:rPr>
          <w:rFonts w:hint="eastAsia" w:ascii="仿宋" w:hAnsi="仿宋" w:eastAsia="仿宋"/>
          <w:color w:val="auto"/>
          <w:sz w:val="28"/>
          <w:szCs w:val="28"/>
          <w:highlight w:val="none"/>
        </w:rPr>
        <w:t>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p>
    <w:p w14:paraId="7D99052F">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5.12需经磋商由供应商提供最终设计方案或解决方案的，磋商结束后，磋商小组按照少数服从多数的原则投票推荐3家以上供应商的设计方案或者解决方案，并要求其在规定时间内提交最后报价。</w:t>
      </w:r>
    </w:p>
    <w:p w14:paraId="46D21124">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p>
    <w:p w14:paraId="3307D2E9">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5.14 有下列情形之一的，视为供应商串通，其响应无效：</w:t>
      </w:r>
    </w:p>
    <w:p w14:paraId="184A3936">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5.14.1不同供应商的响应文件由同一单位或者个人编制；</w:t>
      </w:r>
    </w:p>
    <w:p w14:paraId="6AEB922F">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5.14.2不同供应商的电子响应文件由同一台电子设备编制、打包、加密或者上传；</w:t>
      </w:r>
    </w:p>
    <w:p w14:paraId="52ADA50B">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5.14.3 不同供应商的响应文件由同一供应商的电子设备打印、复印；</w:t>
      </w:r>
    </w:p>
    <w:p w14:paraId="0637A4D4">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5.14.4不同供应商的响应报价用同一个预算编制软件密码锁制作或者出自同一供应商的电子文档；</w:t>
      </w:r>
    </w:p>
    <w:p w14:paraId="646E1D3C">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5.14.5不同供应商从同一个单位或者同一个自然人的互联网协议地址下载竞争性磋商文件、上传响应文件；</w:t>
      </w:r>
    </w:p>
    <w:p w14:paraId="20FF870F">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5.14.6 不同供应商的响应文件异常一致或者响应报价呈规律性差异；</w:t>
      </w:r>
    </w:p>
    <w:p w14:paraId="6AC42D2E">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5.14.7 不同供应商委托同一单位或者个人办理磋商事宜；</w:t>
      </w:r>
    </w:p>
    <w:p w14:paraId="5EC09D1C">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5.14.8不同供应商的响应文件载明的项目管理成员或者联系人员为同一人；</w:t>
      </w:r>
    </w:p>
    <w:p w14:paraId="6B7165CB">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5.14.9不同供应商的磋商保证金虽然经由供应商自己的基本账户转出，但所需资金来自同一单位或者个人的账户。</w:t>
      </w:r>
    </w:p>
    <w:p w14:paraId="79C9934A">
      <w:pPr>
        <w:spacing w:line="500" w:lineRule="exact"/>
        <w:ind w:firstLine="562" w:firstLineChars="200"/>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5.15出现下列情形之一的，磋商小组应当启动异常低价响应审查程序： </w:t>
      </w:r>
    </w:p>
    <w:p w14:paraId="73161DBE">
      <w:pPr>
        <w:spacing w:line="500" w:lineRule="exact"/>
        <w:ind w:firstLine="562" w:firstLineChars="200"/>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5.15.1.响应报价低于全部通过符合性审查供应商响应报价平均值50%的，即响应报价&lt;全部通过符合性审查供应商响应报价平均值×50%；</w:t>
      </w:r>
    </w:p>
    <w:p w14:paraId="41ABA4B3">
      <w:pPr>
        <w:spacing w:line="500" w:lineRule="exact"/>
        <w:ind w:firstLine="562" w:firstLineChars="200"/>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5.15.2.响应报价低于通过符合性审查的次低报价供应商响应报价50%的，即响应报价&lt;通过符合性审查的次低报价供应商响应报价×50%；</w:t>
      </w:r>
    </w:p>
    <w:p w14:paraId="1F7C5D98">
      <w:pPr>
        <w:spacing w:line="500" w:lineRule="exact"/>
        <w:ind w:firstLine="562" w:firstLineChars="200"/>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5.15.3.响应报价低于采购项目最高限价45%的，即响应报价&lt;采购项目最高限价×45%；</w:t>
      </w:r>
    </w:p>
    <w:p w14:paraId="73699AAF">
      <w:pPr>
        <w:spacing w:line="500" w:lineRule="exact"/>
        <w:ind w:firstLine="562" w:firstLineChars="200"/>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5.15.4.磋商小组基于专业判断，认为供应商报价过低，有可能影响产品质量或者不能诚信履约的其他情形。</w:t>
      </w:r>
    </w:p>
    <w:p w14:paraId="47A03953">
      <w:pPr>
        <w:spacing w:line="500" w:lineRule="exact"/>
        <w:ind w:firstLine="562" w:firstLineChars="200"/>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磋商小组应当要求相关供应商在评审现场不少于30分钟时间内对响应价格作出解释，提供项目具体成本测算等与报价合理性相关的书面说明及必要的证明材料，包括但不限于原材料成本、人工成本、制造费用等。</w:t>
      </w:r>
    </w:p>
    <w:p w14:paraId="4596BA7B">
      <w:pPr>
        <w:spacing w:line="500" w:lineRule="exact"/>
        <w:ind w:firstLine="562" w:firstLineChars="200"/>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0F16DDB0">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bCs/>
          <w:color w:val="auto"/>
          <w:sz w:val="28"/>
          <w:szCs w:val="28"/>
          <w:highlight w:val="none"/>
        </w:rPr>
      </w:pPr>
      <w:bookmarkStart w:id="49" w:name="_Toc26679"/>
      <w:r>
        <w:rPr>
          <w:rFonts w:hint="eastAsia" w:ascii="黑体" w:hAnsi="黑体" w:eastAsia="黑体"/>
          <w:bCs/>
          <w:color w:val="auto"/>
          <w:sz w:val="28"/>
          <w:szCs w:val="28"/>
          <w:highlight w:val="none"/>
        </w:rPr>
        <w:t>6.成交和合同</w:t>
      </w:r>
      <w:bookmarkEnd w:id="49"/>
    </w:p>
    <w:p w14:paraId="33A6FCF1">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p>
    <w:p w14:paraId="25D1DB26">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6.2 除资格性检查认定错误、分值汇总计算错误、分项评分超出评分标准范围、客观分评分不一致、或者经磋商小组一致认定评分畸高、畸低的情形外，采购人或者采购代理机构不得以任何理由组织重新评审。</w:t>
      </w:r>
    </w:p>
    <w:p w14:paraId="0809C961">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6.3 采购人与成交供应商应当在成交通知书发出之日起30日内，按照采购文件确定的合同文本以及采购标的、规格型号、采购金额、采购数量、技术和服务要求等事项签订政府采购合同。</w:t>
      </w:r>
    </w:p>
    <w:p w14:paraId="3E10DC3A">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58456B07">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6.5 除不可抗力等因素外，成交通知书发出后，采购人改变成交结果，或者成交供应商拒绝签订政府采购合同的，应当承担相应的法律责任。拒绝签订政府采购合同的成交供应商不得参加对该项目重新开展的采购活动。</w:t>
      </w:r>
    </w:p>
    <w:p w14:paraId="79CA6A17">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6.6采购人与成交供应商应当根据合同的约定依法履行合同义务。政府采购合同的履行、违约责任和解决争议的方法等适用《中华人民共和国民法典》。</w:t>
      </w:r>
    </w:p>
    <w:p w14:paraId="47B77060">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1"/>
        <w:rPr>
          <w:rFonts w:ascii="黑体" w:hAnsi="黑体" w:eastAsia="黑体"/>
          <w:bCs/>
          <w:color w:val="auto"/>
          <w:sz w:val="28"/>
          <w:szCs w:val="28"/>
          <w:highlight w:val="none"/>
        </w:rPr>
      </w:pPr>
      <w:bookmarkStart w:id="50" w:name="_Toc13935"/>
      <w:r>
        <w:rPr>
          <w:rFonts w:hint="eastAsia" w:ascii="黑体" w:hAnsi="黑体" w:eastAsia="黑体"/>
          <w:bCs/>
          <w:color w:val="auto"/>
          <w:sz w:val="28"/>
          <w:szCs w:val="28"/>
          <w:highlight w:val="none"/>
        </w:rPr>
        <w:t>7.政府采购政策功能落实</w:t>
      </w:r>
      <w:bookmarkEnd w:id="50"/>
    </w:p>
    <w:p w14:paraId="620191BC">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7.1 对于非专门面向中小企业采购的项目，小微型企业享受价格扣除优惠。</w:t>
      </w:r>
    </w:p>
    <w:p w14:paraId="46881CC4">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hint="eastAsia" w:ascii="仿宋" w:hAnsi="仿宋" w:eastAsia="仿宋"/>
          <w:color w:val="auto"/>
          <w:sz w:val="28"/>
          <w:szCs w:val="28"/>
          <w:highlight w:val="none"/>
        </w:rPr>
      </w:pPr>
      <w:r>
        <w:rPr>
          <w:rFonts w:hint="eastAsia" w:ascii="仿宋" w:hAnsi="仿宋" w:eastAsia="仿宋"/>
          <w:color w:val="auto"/>
          <w:sz w:val="28"/>
          <w:szCs w:val="28"/>
          <w:highlight w:val="none"/>
        </w:rPr>
        <w:t>7.1.1 货物类或者服务类采购项目，采购人、采购代理机构应当对符合《政府采购促进中小企业发展管理办法》（财库〔2020〕46号）规定的小微企业报价给予10%的扣除；工程类采购项目，给予3%的扣除，给予用扣除后的价格参加评审。</w:t>
      </w:r>
    </w:p>
    <w:p w14:paraId="7398F23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p>
    <w:p w14:paraId="14CCDCD6">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7.1.3价格扣除比例或者价格分加分比例对小型企业和微型企业同等对待，不作区分。</w:t>
      </w:r>
    </w:p>
    <w:p w14:paraId="03FEBD70">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7.1.4 在政府采购活动中，供应商提供的货物、工程或者服务符合下列情形的，享受价格扣除政策：</w:t>
      </w:r>
    </w:p>
    <w:p w14:paraId="2E64AEC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7.1.4.1在货物采购项目中，货物由小微企业制造，即货物由小微企业生产且使用该小微企业商号或者注册商标；</w:t>
      </w:r>
    </w:p>
    <w:p w14:paraId="7EF8D658">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7.1.4.2在工程采购项目中，工程由小微企业承建，即工程施工单位为小微企业；</w:t>
      </w:r>
    </w:p>
    <w:p w14:paraId="3DC260C1">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7.1.4.3在服务采购项目中，服务由小微企业承接，即提供服务的人员为小微企业依照《中华人民共和国劳动合同法》订立劳动合同的从业人员。</w:t>
      </w:r>
    </w:p>
    <w:p w14:paraId="141A1320">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7.1.4.4以联合体形式参加政府采购活动，联合体各方均为小微企业的，联合体视同小微企业。</w:t>
      </w:r>
    </w:p>
    <w:p w14:paraId="381ED46F">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p>
    <w:p w14:paraId="674CF2AD">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7.1.6 下列情形不享受价格扣除政策：</w:t>
      </w:r>
    </w:p>
    <w:p w14:paraId="4EA5E140">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7.1.6.1在货物采购项目中，供应商提供的货物既有中小企业制造货物，也有大型企业制造货物的。</w:t>
      </w:r>
    </w:p>
    <w:p w14:paraId="2E2F88D3">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7.1.6.2 响应供应商与大企业的负责人为同一人，或者与大企业存在直接控股、管理关系。</w:t>
      </w:r>
    </w:p>
    <w:p w14:paraId="188402DE">
      <w:pPr>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7.1.7《中小企业划型标准规定》（工信部联企业〔2011〕300号）</w:t>
      </w:r>
    </w:p>
    <w:tbl>
      <w:tblPr>
        <w:tblStyle w:val="16"/>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4"/>
        <w:gridCol w:w="1625"/>
        <w:gridCol w:w="767"/>
        <w:gridCol w:w="2055"/>
        <w:gridCol w:w="1765"/>
        <w:gridCol w:w="1164"/>
      </w:tblGrid>
      <w:tr w14:paraId="3A1CF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2194" w:type="dxa"/>
            <w:vAlign w:val="center"/>
          </w:tcPr>
          <w:p w14:paraId="406E411C">
            <w:pPr>
              <w:spacing w:line="500" w:lineRule="exact"/>
              <w:jc w:val="center"/>
              <w:outlineLvl w:val="9"/>
              <w:rPr>
                <w:rFonts w:ascii="仿宋" w:hAnsi="仿宋" w:eastAsia="仿宋"/>
                <w:b/>
                <w:color w:val="auto"/>
                <w:highlight w:val="none"/>
              </w:rPr>
            </w:pPr>
            <w:r>
              <w:rPr>
                <w:rFonts w:ascii="仿宋" w:hAnsi="仿宋" w:eastAsia="仿宋"/>
                <w:b/>
                <w:color w:val="auto"/>
                <w:highlight w:val="none"/>
              </w:rPr>
              <w:t>行业名称</w:t>
            </w:r>
          </w:p>
        </w:tc>
        <w:tc>
          <w:tcPr>
            <w:tcW w:w="1625" w:type="dxa"/>
            <w:vAlign w:val="center"/>
          </w:tcPr>
          <w:p w14:paraId="2E3407CC">
            <w:pPr>
              <w:spacing w:line="500" w:lineRule="exact"/>
              <w:jc w:val="center"/>
              <w:outlineLvl w:val="9"/>
              <w:rPr>
                <w:rFonts w:ascii="仿宋" w:hAnsi="仿宋" w:eastAsia="仿宋"/>
                <w:b/>
                <w:color w:val="auto"/>
                <w:highlight w:val="none"/>
              </w:rPr>
            </w:pPr>
            <w:r>
              <w:rPr>
                <w:rFonts w:ascii="仿宋" w:hAnsi="仿宋" w:eastAsia="仿宋"/>
                <w:b/>
                <w:color w:val="auto"/>
                <w:highlight w:val="none"/>
              </w:rPr>
              <w:t>指标名称</w:t>
            </w:r>
          </w:p>
        </w:tc>
        <w:tc>
          <w:tcPr>
            <w:tcW w:w="767" w:type="dxa"/>
            <w:vAlign w:val="center"/>
          </w:tcPr>
          <w:p w14:paraId="6E791B8F">
            <w:pPr>
              <w:spacing w:line="500" w:lineRule="exact"/>
              <w:jc w:val="center"/>
              <w:outlineLvl w:val="9"/>
              <w:rPr>
                <w:rFonts w:ascii="仿宋" w:hAnsi="仿宋" w:eastAsia="仿宋"/>
                <w:b/>
                <w:color w:val="auto"/>
                <w:highlight w:val="none"/>
              </w:rPr>
            </w:pPr>
            <w:r>
              <w:rPr>
                <w:rFonts w:ascii="仿宋" w:hAnsi="仿宋" w:eastAsia="仿宋"/>
                <w:b/>
                <w:color w:val="auto"/>
                <w:highlight w:val="none"/>
              </w:rPr>
              <w:t>计量</w:t>
            </w:r>
          </w:p>
          <w:p w14:paraId="7DCF5605">
            <w:pPr>
              <w:spacing w:line="500" w:lineRule="exact"/>
              <w:jc w:val="center"/>
              <w:outlineLvl w:val="9"/>
              <w:rPr>
                <w:rFonts w:ascii="仿宋" w:hAnsi="仿宋" w:eastAsia="仿宋"/>
                <w:b/>
                <w:color w:val="auto"/>
                <w:highlight w:val="none"/>
              </w:rPr>
            </w:pPr>
            <w:r>
              <w:rPr>
                <w:rFonts w:ascii="仿宋" w:hAnsi="仿宋" w:eastAsia="仿宋"/>
                <w:b/>
                <w:color w:val="auto"/>
                <w:highlight w:val="none"/>
              </w:rPr>
              <w:t>单位</w:t>
            </w:r>
          </w:p>
        </w:tc>
        <w:tc>
          <w:tcPr>
            <w:tcW w:w="2055" w:type="dxa"/>
            <w:vAlign w:val="center"/>
          </w:tcPr>
          <w:p w14:paraId="24EC2393">
            <w:pPr>
              <w:spacing w:line="500" w:lineRule="exact"/>
              <w:jc w:val="center"/>
              <w:outlineLvl w:val="9"/>
              <w:rPr>
                <w:rFonts w:ascii="仿宋" w:hAnsi="仿宋" w:eastAsia="仿宋"/>
                <w:b/>
                <w:color w:val="auto"/>
                <w:highlight w:val="none"/>
              </w:rPr>
            </w:pPr>
            <w:r>
              <w:rPr>
                <w:rFonts w:ascii="仿宋" w:hAnsi="仿宋" w:eastAsia="仿宋"/>
                <w:b/>
                <w:color w:val="auto"/>
                <w:highlight w:val="none"/>
              </w:rPr>
              <w:t>中型</w:t>
            </w:r>
          </w:p>
        </w:tc>
        <w:tc>
          <w:tcPr>
            <w:tcW w:w="1765" w:type="dxa"/>
            <w:vAlign w:val="center"/>
          </w:tcPr>
          <w:p w14:paraId="2798E854">
            <w:pPr>
              <w:spacing w:line="500" w:lineRule="exact"/>
              <w:jc w:val="center"/>
              <w:outlineLvl w:val="9"/>
              <w:rPr>
                <w:rFonts w:ascii="仿宋" w:hAnsi="仿宋" w:eastAsia="仿宋"/>
                <w:b/>
                <w:color w:val="auto"/>
                <w:highlight w:val="none"/>
              </w:rPr>
            </w:pPr>
            <w:r>
              <w:rPr>
                <w:rFonts w:ascii="仿宋" w:hAnsi="仿宋" w:eastAsia="仿宋"/>
                <w:b/>
                <w:color w:val="auto"/>
                <w:highlight w:val="none"/>
              </w:rPr>
              <w:t>小型</w:t>
            </w:r>
          </w:p>
        </w:tc>
        <w:tc>
          <w:tcPr>
            <w:tcW w:w="1164" w:type="dxa"/>
            <w:vAlign w:val="center"/>
          </w:tcPr>
          <w:p w14:paraId="1F3F3D6E">
            <w:pPr>
              <w:spacing w:line="500" w:lineRule="exact"/>
              <w:jc w:val="center"/>
              <w:outlineLvl w:val="9"/>
              <w:rPr>
                <w:rFonts w:ascii="仿宋" w:hAnsi="仿宋" w:eastAsia="仿宋"/>
                <w:b/>
                <w:color w:val="auto"/>
                <w:highlight w:val="none"/>
              </w:rPr>
            </w:pPr>
            <w:r>
              <w:rPr>
                <w:rFonts w:ascii="仿宋" w:hAnsi="仿宋" w:eastAsia="仿宋"/>
                <w:b/>
                <w:color w:val="auto"/>
                <w:highlight w:val="none"/>
              </w:rPr>
              <w:t>微型</w:t>
            </w:r>
          </w:p>
        </w:tc>
      </w:tr>
      <w:tr w14:paraId="42E43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Align w:val="center"/>
          </w:tcPr>
          <w:p w14:paraId="53AC92CD">
            <w:pPr>
              <w:spacing w:line="500" w:lineRule="exact"/>
              <w:jc w:val="center"/>
              <w:outlineLvl w:val="9"/>
              <w:rPr>
                <w:rFonts w:ascii="仿宋" w:hAnsi="仿宋" w:eastAsia="仿宋"/>
                <w:color w:val="auto"/>
                <w:highlight w:val="none"/>
              </w:rPr>
            </w:pPr>
            <w:r>
              <w:rPr>
                <w:rFonts w:ascii="仿宋" w:hAnsi="仿宋" w:eastAsia="仿宋"/>
                <w:color w:val="auto"/>
                <w:highlight w:val="none"/>
              </w:rPr>
              <w:t>农、林、牧、渔</w:t>
            </w:r>
          </w:p>
        </w:tc>
        <w:tc>
          <w:tcPr>
            <w:tcW w:w="1625" w:type="dxa"/>
            <w:vAlign w:val="center"/>
          </w:tcPr>
          <w:p w14:paraId="1B33001E">
            <w:pPr>
              <w:spacing w:line="500" w:lineRule="exact"/>
              <w:jc w:val="center"/>
              <w:outlineLvl w:val="9"/>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767" w:type="dxa"/>
            <w:vAlign w:val="center"/>
          </w:tcPr>
          <w:p w14:paraId="224A0C7F">
            <w:pPr>
              <w:spacing w:line="500" w:lineRule="exact"/>
              <w:jc w:val="center"/>
              <w:outlineLvl w:val="9"/>
              <w:rPr>
                <w:rFonts w:ascii="仿宋" w:hAnsi="仿宋" w:eastAsia="仿宋"/>
                <w:color w:val="auto"/>
                <w:highlight w:val="none"/>
              </w:rPr>
            </w:pPr>
            <w:r>
              <w:rPr>
                <w:rFonts w:ascii="仿宋" w:hAnsi="仿宋" w:eastAsia="仿宋"/>
                <w:color w:val="auto"/>
                <w:highlight w:val="none"/>
              </w:rPr>
              <w:t>万元</w:t>
            </w:r>
          </w:p>
        </w:tc>
        <w:tc>
          <w:tcPr>
            <w:tcW w:w="2055" w:type="dxa"/>
            <w:vAlign w:val="center"/>
          </w:tcPr>
          <w:p w14:paraId="17493162">
            <w:pPr>
              <w:spacing w:line="500" w:lineRule="exact"/>
              <w:jc w:val="center"/>
              <w:outlineLvl w:val="9"/>
              <w:rPr>
                <w:rFonts w:eastAsia="仿宋"/>
                <w:color w:val="auto"/>
                <w:highlight w:val="none"/>
              </w:rPr>
            </w:pPr>
            <w:r>
              <w:rPr>
                <w:rFonts w:eastAsia="仿宋"/>
                <w:color w:val="auto"/>
                <w:highlight w:val="none"/>
              </w:rPr>
              <w:t>500≤Y&lt;20000</w:t>
            </w:r>
          </w:p>
        </w:tc>
        <w:tc>
          <w:tcPr>
            <w:tcW w:w="1765" w:type="dxa"/>
            <w:vAlign w:val="center"/>
          </w:tcPr>
          <w:p w14:paraId="16884C3B">
            <w:pPr>
              <w:spacing w:line="500" w:lineRule="exact"/>
              <w:jc w:val="center"/>
              <w:outlineLvl w:val="9"/>
              <w:rPr>
                <w:rFonts w:eastAsia="仿宋"/>
                <w:color w:val="auto"/>
                <w:highlight w:val="none"/>
              </w:rPr>
            </w:pPr>
            <w:r>
              <w:rPr>
                <w:rFonts w:eastAsia="仿宋"/>
                <w:color w:val="auto"/>
                <w:highlight w:val="none"/>
              </w:rPr>
              <w:t>50≤Y&lt;500</w:t>
            </w:r>
          </w:p>
        </w:tc>
        <w:tc>
          <w:tcPr>
            <w:tcW w:w="1164" w:type="dxa"/>
            <w:vAlign w:val="center"/>
          </w:tcPr>
          <w:p w14:paraId="7E160E54">
            <w:pPr>
              <w:spacing w:line="500" w:lineRule="exact"/>
              <w:jc w:val="center"/>
              <w:outlineLvl w:val="9"/>
              <w:rPr>
                <w:rFonts w:eastAsia="仿宋"/>
                <w:color w:val="auto"/>
                <w:highlight w:val="none"/>
              </w:rPr>
            </w:pPr>
            <w:r>
              <w:rPr>
                <w:rFonts w:eastAsia="仿宋"/>
                <w:color w:val="auto"/>
                <w:highlight w:val="none"/>
              </w:rPr>
              <w:t>Y&lt;50</w:t>
            </w:r>
          </w:p>
        </w:tc>
      </w:tr>
      <w:tr w14:paraId="50643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restart"/>
            <w:vAlign w:val="center"/>
          </w:tcPr>
          <w:p w14:paraId="0982CAFA">
            <w:pPr>
              <w:spacing w:line="500" w:lineRule="exact"/>
              <w:jc w:val="center"/>
              <w:outlineLvl w:val="9"/>
              <w:rPr>
                <w:rFonts w:ascii="仿宋" w:hAnsi="仿宋" w:eastAsia="仿宋"/>
                <w:color w:val="auto"/>
                <w:highlight w:val="none"/>
              </w:rPr>
            </w:pPr>
            <w:r>
              <w:rPr>
                <w:rFonts w:ascii="仿宋" w:hAnsi="仿宋" w:eastAsia="仿宋"/>
                <w:color w:val="auto"/>
                <w:highlight w:val="none"/>
              </w:rPr>
              <w:t>工业</w:t>
            </w:r>
          </w:p>
        </w:tc>
        <w:tc>
          <w:tcPr>
            <w:tcW w:w="1625" w:type="dxa"/>
            <w:vAlign w:val="center"/>
          </w:tcPr>
          <w:p w14:paraId="5816066F">
            <w:pPr>
              <w:spacing w:line="500" w:lineRule="exact"/>
              <w:jc w:val="center"/>
              <w:outlineLvl w:val="9"/>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767" w:type="dxa"/>
            <w:vAlign w:val="center"/>
          </w:tcPr>
          <w:p w14:paraId="309306ED">
            <w:pPr>
              <w:spacing w:line="500" w:lineRule="exact"/>
              <w:jc w:val="center"/>
              <w:outlineLvl w:val="9"/>
              <w:rPr>
                <w:rFonts w:ascii="仿宋" w:hAnsi="仿宋" w:eastAsia="仿宋"/>
                <w:color w:val="auto"/>
                <w:highlight w:val="none"/>
              </w:rPr>
            </w:pPr>
            <w:r>
              <w:rPr>
                <w:rFonts w:ascii="仿宋" w:hAnsi="仿宋" w:eastAsia="仿宋"/>
                <w:color w:val="auto"/>
                <w:highlight w:val="none"/>
              </w:rPr>
              <w:t>人</w:t>
            </w:r>
          </w:p>
        </w:tc>
        <w:tc>
          <w:tcPr>
            <w:tcW w:w="2055" w:type="dxa"/>
            <w:vAlign w:val="center"/>
          </w:tcPr>
          <w:p w14:paraId="5C0DD723">
            <w:pPr>
              <w:spacing w:line="500" w:lineRule="exact"/>
              <w:jc w:val="center"/>
              <w:outlineLvl w:val="9"/>
              <w:rPr>
                <w:rFonts w:eastAsia="仿宋"/>
                <w:color w:val="auto"/>
                <w:highlight w:val="none"/>
              </w:rPr>
            </w:pPr>
            <w:r>
              <w:rPr>
                <w:rFonts w:eastAsia="仿宋"/>
                <w:color w:val="auto"/>
                <w:highlight w:val="none"/>
              </w:rPr>
              <w:t>300≤X&lt;1000</w:t>
            </w:r>
          </w:p>
        </w:tc>
        <w:tc>
          <w:tcPr>
            <w:tcW w:w="1765" w:type="dxa"/>
            <w:vAlign w:val="center"/>
          </w:tcPr>
          <w:p w14:paraId="24D55DFF">
            <w:pPr>
              <w:spacing w:line="500" w:lineRule="exact"/>
              <w:jc w:val="center"/>
              <w:outlineLvl w:val="9"/>
              <w:rPr>
                <w:rFonts w:eastAsia="仿宋"/>
                <w:color w:val="auto"/>
                <w:highlight w:val="none"/>
              </w:rPr>
            </w:pPr>
            <w:r>
              <w:rPr>
                <w:rFonts w:eastAsia="仿宋"/>
                <w:color w:val="auto"/>
                <w:highlight w:val="none"/>
              </w:rPr>
              <w:t>20≤X&lt;300</w:t>
            </w:r>
          </w:p>
        </w:tc>
        <w:tc>
          <w:tcPr>
            <w:tcW w:w="1164" w:type="dxa"/>
            <w:vAlign w:val="center"/>
          </w:tcPr>
          <w:p w14:paraId="5C647C16">
            <w:pPr>
              <w:spacing w:line="500" w:lineRule="exact"/>
              <w:jc w:val="center"/>
              <w:outlineLvl w:val="9"/>
              <w:rPr>
                <w:rFonts w:eastAsia="仿宋"/>
                <w:color w:val="auto"/>
                <w:highlight w:val="none"/>
              </w:rPr>
            </w:pPr>
            <w:r>
              <w:rPr>
                <w:rFonts w:eastAsia="仿宋"/>
                <w:color w:val="auto"/>
                <w:highlight w:val="none"/>
              </w:rPr>
              <w:t>X&lt;20</w:t>
            </w:r>
          </w:p>
        </w:tc>
      </w:tr>
      <w:tr w14:paraId="15450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continue"/>
            <w:vAlign w:val="center"/>
          </w:tcPr>
          <w:p w14:paraId="7B46AEA1">
            <w:pPr>
              <w:spacing w:line="500" w:lineRule="exact"/>
              <w:jc w:val="center"/>
              <w:outlineLvl w:val="9"/>
              <w:rPr>
                <w:rFonts w:ascii="仿宋" w:hAnsi="仿宋" w:eastAsia="仿宋"/>
                <w:color w:val="auto"/>
                <w:highlight w:val="none"/>
              </w:rPr>
            </w:pPr>
          </w:p>
        </w:tc>
        <w:tc>
          <w:tcPr>
            <w:tcW w:w="1625" w:type="dxa"/>
            <w:vAlign w:val="center"/>
          </w:tcPr>
          <w:p w14:paraId="1B805C3A">
            <w:pPr>
              <w:spacing w:line="500" w:lineRule="exact"/>
              <w:jc w:val="center"/>
              <w:outlineLvl w:val="9"/>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767" w:type="dxa"/>
            <w:vAlign w:val="center"/>
          </w:tcPr>
          <w:p w14:paraId="39C9CB69">
            <w:pPr>
              <w:spacing w:line="500" w:lineRule="exact"/>
              <w:jc w:val="center"/>
              <w:outlineLvl w:val="9"/>
              <w:rPr>
                <w:rFonts w:ascii="仿宋" w:hAnsi="仿宋" w:eastAsia="仿宋"/>
                <w:color w:val="auto"/>
                <w:highlight w:val="none"/>
              </w:rPr>
            </w:pPr>
            <w:r>
              <w:rPr>
                <w:rFonts w:ascii="仿宋" w:hAnsi="仿宋" w:eastAsia="仿宋"/>
                <w:color w:val="auto"/>
                <w:highlight w:val="none"/>
              </w:rPr>
              <w:t>万元</w:t>
            </w:r>
          </w:p>
        </w:tc>
        <w:tc>
          <w:tcPr>
            <w:tcW w:w="2055" w:type="dxa"/>
            <w:vAlign w:val="center"/>
          </w:tcPr>
          <w:p w14:paraId="792E50A8">
            <w:pPr>
              <w:spacing w:line="500" w:lineRule="exact"/>
              <w:jc w:val="center"/>
              <w:outlineLvl w:val="9"/>
              <w:rPr>
                <w:rFonts w:eastAsia="仿宋"/>
                <w:color w:val="auto"/>
                <w:highlight w:val="none"/>
              </w:rPr>
            </w:pPr>
            <w:r>
              <w:rPr>
                <w:rFonts w:eastAsia="仿宋"/>
                <w:color w:val="auto"/>
                <w:highlight w:val="none"/>
              </w:rPr>
              <w:t>2000≤Y&lt;40000</w:t>
            </w:r>
          </w:p>
        </w:tc>
        <w:tc>
          <w:tcPr>
            <w:tcW w:w="1765" w:type="dxa"/>
            <w:vAlign w:val="center"/>
          </w:tcPr>
          <w:p w14:paraId="3D43F604">
            <w:pPr>
              <w:spacing w:line="500" w:lineRule="exact"/>
              <w:jc w:val="center"/>
              <w:outlineLvl w:val="9"/>
              <w:rPr>
                <w:rFonts w:eastAsia="仿宋"/>
                <w:color w:val="auto"/>
                <w:highlight w:val="none"/>
              </w:rPr>
            </w:pPr>
            <w:r>
              <w:rPr>
                <w:rFonts w:eastAsia="仿宋"/>
                <w:color w:val="auto"/>
                <w:highlight w:val="none"/>
              </w:rPr>
              <w:t>300≤Y&lt;2000</w:t>
            </w:r>
          </w:p>
        </w:tc>
        <w:tc>
          <w:tcPr>
            <w:tcW w:w="1164" w:type="dxa"/>
            <w:vAlign w:val="center"/>
          </w:tcPr>
          <w:p w14:paraId="2A26630F">
            <w:pPr>
              <w:spacing w:line="500" w:lineRule="exact"/>
              <w:jc w:val="center"/>
              <w:outlineLvl w:val="9"/>
              <w:rPr>
                <w:rFonts w:eastAsia="仿宋"/>
                <w:color w:val="auto"/>
                <w:highlight w:val="none"/>
              </w:rPr>
            </w:pPr>
            <w:r>
              <w:rPr>
                <w:rFonts w:eastAsia="仿宋"/>
                <w:color w:val="auto"/>
                <w:highlight w:val="none"/>
              </w:rPr>
              <w:t>Y&lt;300</w:t>
            </w:r>
          </w:p>
        </w:tc>
      </w:tr>
      <w:tr w14:paraId="422D0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restart"/>
            <w:vAlign w:val="center"/>
          </w:tcPr>
          <w:p w14:paraId="3864A14F">
            <w:pPr>
              <w:spacing w:line="500" w:lineRule="exact"/>
              <w:jc w:val="center"/>
              <w:outlineLvl w:val="9"/>
              <w:rPr>
                <w:rFonts w:ascii="仿宋" w:hAnsi="仿宋" w:eastAsia="仿宋"/>
                <w:color w:val="auto"/>
                <w:highlight w:val="none"/>
              </w:rPr>
            </w:pPr>
            <w:r>
              <w:rPr>
                <w:rFonts w:ascii="仿宋" w:hAnsi="仿宋" w:eastAsia="仿宋"/>
                <w:color w:val="auto"/>
                <w:highlight w:val="none"/>
              </w:rPr>
              <w:t>建筑业</w:t>
            </w:r>
          </w:p>
        </w:tc>
        <w:tc>
          <w:tcPr>
            <w:tcW w:w="1625" w:type="dxa"/>
            <w:vAlign w:val="center"/>
          </w:tcPr>
          <w:p w14:paraId="73474848">
            <w:pPr>
              <w:spacing w:line="500" w:lineRule="exact"/>
              <w:jc w:val="center"/>
              <w:outlineLvl w:val="9"/>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767" w:type="dxa"/>
            <w:vAlign w:val="center"/>
          </w:tcPr>
          <w:p w14:paraId="24CA756B">
            <w:pPr>
              <w:spacing w:line="500" w:lineRule="exact"/>
              <w:jc w:val="center"/>
              <w:outlineLvl w:val="9"/>
              <w:rPr>
                <w:rFonts w:ascii="仿宋" w:hAnsi="仿宋" w:eastAsia="仿宋"/>
                <w:color w:val="auto"/>
                <w:highlight w:val="none"/>
              </w:rPr>
            </w:pPr>
            <w:r>
              <w:rPr>
                <w:rFonts w:ascii="仿宋" w:hAnsi="仿宋" w:eastAsia="仿宋"/>
                <w:color w:val="auto"/>
                <w:highlight w:val="none"/>
              </w:rPr>
              <w:t>万元</w:t>
            </w:r>
          </w:p>
        </w:tc>
        <w:tc>
          <w:tcPr>
            <w:tcW w:w="2055" w:type="dxa"/>
            <w:vAlign w:val="center"/>
          </w:tcPr>
          <w:p w14:paraId="71938D52">
            <w:pPr>
              <w:spacing w:line="500" w:lineRule="exact"/>
              <w:jc w:val="center"/>
              <w:outlineLvl w:val="9"/>
              <w:rPr>
                <w:rFonts w:eastAsia="仿宋"/>
                <w:color w:val="auto"/>
                <w:highlight w:val="none"/>
              </w:rPr>
            </w:pPr>
            <w:r>
              <w:rPr>
                <w:rFonts w:eastAsia="仿宋"/>
                <w:color w:val="auto"/>
                <w:highlight w:val="none"/>
              </w:rPr>
              <w:t>6000≤Y&lt;80000</w:t>
            </w:r>
          </w:p>
        </w:tc>
        <w:tc>
          <w:tcPr>
            <w:tcW w:w="1765" w:type="dxa"/>
            <w:vAlign w:val="center"/>
          </w:tcPr>
          <w:p w14:paraId="32B6599D">
            <w:pPr>
              <w:spacing w:line="500" w:lineRule="exact"/>
              <w:jc w:val="center"/>
              <w:outlineLvl w:val="9"/>
              <w:rPr>
                <w:rFonts w:eastAsia="仿宋"/>
                <w:color w:val="auto"/>
                <w:highlight w:val="none"/>
              </w:rPr>
            </w:pPr>
            <w:r>
              <w:rPr>
                <w:rFonts w:eastAsia="仿宋"/>
                <w:color w:val="auto"/>
                <w:highlight w:val="none"/>
              </w:rPr>
              <w:t>300≤Y&lt;6000</w:t>
            </w:r>
          </w:p>
        </w:tc>
        <w:tc>
          <w:tcPr>
            <w:tcW w:w="1164" w:type="dxa"/>
            <w:vAlign w:val="center"/>
          </w:tcPr>
          <w:p w14:paraId="04A73BF0">
            <w:pPr>
              <w:spacing w:line="500" w:lineRule="exact"/>
              <w:jc w:val="center"/>
              <w:outlineLvl w:val="9"/>
              <w:rPr>
                <w:rFonts w:eastAsia="仿宋"/>
                <w:color w:val="auto"/>
                <w:highlight w:val="none"/>
              </w:rPr>
            </w:pPr>
            <w:r>
              <w:rPr>
                <w:rFonts w:eastAsia="仿宋"/>
                <w:color w:val="auto"/>
                <w:highlight w:val="none"/>
              </w:rPr>
              <w:t>Y&lt;300</w:t>
            </w:r>
          </w:p>
        </w:tc>
      </w:tr>
      <w:tr w14:paraId="6C00C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continue"/>
            <w:vAlign w:val="center"/>
          </w:tcPr>
          <w:p w14:paraId="7C8CB9FA">
            <w:pPr>
              <w:spacing w:line="500" w:lineRule="exact"/>
              <w:jc w:val="center"/>
              <w:outlineLvl w:val="9"/>
              <w:rPr>
                <w:rFonts w:ascii="仿宋" w:hAnsi="仿宋" w:eastAsia="仿宋"/>
                <w:color w:val="auto"/>
                <w:highlight w:val="none"/>
              </w:rPr>
            </w:pPr>
          </w:p>
        </w:tc>
        <w:tc>
          <w:tcPr>
            <w:tcW w:w="1625" w:type="dxa"/>
            <w:vAlign w:val="center"/>
          </w:tcPr>
          <w:p w14:paraId="0DFD4FA7">
            <w:pPr>
              <w:spacing w:line="500" w:lineRule="exact"/>
              <w:jc w:val="center"/>
              <w:outlineLvl w:val="9"/>
              <w:rPr>
                <w:rFonts w:ascii="仿宋" w:hAnsi="仿宋" w:eastAsia="仿宋"/>
                <w:color w:val="auto"/>
                <w:highlight w:val="none"/>
              </w:rPr>
            </w:pPr>
            <w:r>
              <w:rPr>
                <w:rFonts w:hint="eastAsia" w:ascii="仿宋" w:hAnsi="仿宋" w:eastAsia="仿宋"/>
                <w:color w:val="auto"/>
                <w:highlight w:val="none"/>
              </w:rPr>
              <w:t>资产</w:t>
            </w:r>
            <w:r>
              <w:rPr>
                <w:rFonts w:ascii="仿宋" w:hAnsi="仿宋" w:eastAsia="仿宋"/>
                <w:color w:val="auto"/>
                <w:highlight w:val="none"/>
              </w:rPr>
              <w:t>总额（</w:t>
            </w:r>
            <w:r>
              <w:rPr>
                <w:rFonts w:hint="eastAsia" w:ascii="仿宋" w:hAnsi="仿宋" w:eastAsia="仿宋"/>
                <w:color w:val="auto"/>
                <w:highlight w:val="none"/>
              </w:rPr>
              <w:t>Z）</w:t>
            </w:r>
          </w:p>
        </w:tc>
        <w:tc>
          <w:tcPr>
            <w:tcW w:w="767" w:type="dxa"/>
            <w:vAlign w:val="center"/>
          </w:tcPr>
          <w:p w14:paraId="346B793C">
            <w:pPr>
              <w:spacing w:line="500" w:lineRule="exact"/>
              <w:jc w:val="center"/>
              <w:outlineLvl w:val="9"/>
              <w:rPr>
                <w:rFonts w:ascii="仿宋" w:hAnsi="仿宋" w:eastAsia="仿宋"/>
                <w:color w:val="auto"/>
                <w:highlight w:val="none"/>
              </w:rPr>
            </w:pPr>
            <w:r>
              <w:rPr>
                <w:rFonts w:ascii="仿宋" w:hAnsi="仿宋" w:eastAsia="仿宋"/>
                <w:color w:val="auto"/>
                <w:highlight w:val="none"/>
              </w:rPr>
              <w:t>万元</w:t>
            </w:r>
          </w:p>
        </w:tc>
        <w:tc>
          <w:tcPr>
            <w:tcW w:w="2055" w:type="dxa"/>
            <w:vAlign w:val="center"/>
          </w:tcPr>
          <w:p w14:paraId="1202EE02">
            <w:pPr>
              <w:spacing w:line="500" w:lineRule="exact"/>
              <w:jc w:val="center"/>
              <w:outlineLvl w:val="9"/>
              <w:rPr>
                <w:rFonts w:eastAsia="仿宋"/>
                <w:color w:val="auto"/>
                <w:highlight w:val="none"/>
              </w:rPr>
            </w:pPr>
            <w:r>
              <w:rPr>
                <w:rFonts w:eastAsia="仿宋"/>
                <w:color w:val="auto"/>
                <w:highlight w:val="none"/>
              </w:rPr>
              <w:t>5000≤Z &lt;80000</w:t>
            </w:r>
          </w:p>
        </w:tc>
        <w:tc>
          <w:tcPr>
            <w:tcW w:w="1765" w:type="dxa"/>
            <w:vAlign w:val="center"/>
          </w:tcPr>
          <w:p w14:paraId="24860A48">
            <w:pPr>
              <w:spacing w:line="500" w:lineRule="exact"/>
              <w:jc w:val="center"/>
              <w:outlineLvl w:val="9"/>
              <w:rPr>
                <w:rFonts w:eastAsia="仿宋"/>
                <w:color w:val="auto"/>
                <w:highlight w:val="none"/>
              </w:rPr>
            </w:pPr>
            <w:r>
              <w:rPr>
                <w:rFonts w:eastAsia="仿宋"/>
                <w:color w:val="auto"/>
                <w:highlight w:val="none"/>
              </w:rPr>
              <w:t>300≤Z &lt;5000</w:t>
            </w:r>
          </w:p>
        </w:tc>
        <w:tc>
          <w:tcPr>
            <w:tcW w:w="1164" w:type="dxa"/>
            <w:vAlign w:val="center"/>
          </w:tcPr>
          <w:p w14:paraId="29E7DA81">
            <w:pPr>
              <w:spacing w:line="500" w:lineRule="exact"/>
              <w:jc w:val="center"/>
              <w:outlineLvl w:val="9"/>
              <w:rPr>
                <w:rFonts w:eastAsia="仿宋"/>
                <w:color w:val="auto"/>
                <w:highlight w:val="none"/>
              </w:rPr>
            </w:pPr>
            <w:r>
              <w:rPr>
                <w:rFonts w:eastAsia="仿宋"/>
                <w:color w:val="auto"/>
                <w:highlight w:val="none"/>
              </w:rPr>
              <w:t>Z&lt;300</w:t>
            </w:r>
          </w:p>
        </w:tc>
      </w:tr>
      <w:tr w14:paraId="58793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restart"/>
            <w:vAlign w:val="center"/>
          </w:tcPr>
          <w:p w14:paraId="1D26B06D">
            <w:pPr>
              <w:spacing w:line="500" w:lineRule="exact"/>
              <w:jc w:val="center"/>
              <w:outlineLvl w:val="9"/>
              <w:rPr>
                <w:rFonts w:ascii="仿宋" w:hAnsi="仿宋" w:eastAsia="仿宋"/>
                <w:color w:val="auto"/>
                <w:highlight w:val="none"/>
              </w:rPr>
            </w:pPr>
            <w:r>
              <w:rPr>
                <w:rFonts w:ascii="仿宋" w:hAnsi="仿宋" w:eastAsia="仿宋"/>
                <w:color w:val="auto"/>
                <w:highlight w:val="none"/>
              </w:rPr>
              <w:t>批发业</w:t>
            </w:r>
          </w:p>
        </w:tc>
        <w:tc>
          <w:tcPr>
            <w:tcW w:w="1625" w:type="dxa"/>
            <w:vAlign w:val="center"/>
          </w:tcPr>
          <w:p w14:paraId="3AC7234A">
            <w:pPr>
              <w:spacing w:line="500" w:lineRule="exact"/>
              <w:jc w:val="center"/>
              <w:outlineLvl w:val="9"/>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767" w:type="dxa"/>
            <w:vAlign w:val="center"/>
          </w:tcPr>
          <w:p w14:paraId="17BEDF2A">
            <w:pPr>
              <w:spacing w:line="500" w:lineRule="exact"/>
              <w:jc w:val="center"/>
              <w:outlineLvl w:val="9"/>
              <w:rPr>
                <w:rFonts w:ascii="仿宋" w:hAnsi="仿宋" w:eastAsia="仿宋"/>
                <w:color w:val="auto"/>
                <w:highlight w:val="none"/>
              </w:rPr>
            </w:pPr>
            <w:r>
              <w:rPr>
                <w:rFonts w:ascii="仿宋" w:hAnsi="仿宋" w:eastAsia="仿宋"/>
                <w:color w:val="auto"/>
                <w:highlight w:val="none"/>
              </w:rPr>
              <w:t>人</w:t>
            </w:r>
          </w:p>
        </w:tc>
        <w:tc>
          <w:tcPr>
            <w:tcW w:w="2055" w:type="dxa"/>
            <w:vAlign w:val="center"/>
          </w:tcPr>
          <w:p w14:paraId="5475507C">
            <w:pPr>
              <w:spacing w:line="500" w:lineRule="exact"/>
              <w:jc w:val="center"/>
              <w:outlineLvl w:val="9"/>
              <w:rPr>
                <w:rFonts w:eastAsia="仿宋"/>
                <w:color w:val="auto"/>
                <w:highlight w:val="none"/>
              </w:rPr>
            </w:pPr>
            <w:r>
              <w:rPr>
                <w:rFonts w:eastAsia="仿宋"/>
                <w:color w:val="auto"/>
                <w:highlight w:val="none"/>
              </w:rPr>
              <w:t>20≤X&lt;200</w:t>
            </w:r>
          </w:p>
        </w:tc>
        <w:tc>
          <w:tcPr>
            <w:tcW w:w="1765" w:type="dxa"/>
            <w:vAlign w:val="center"/>
          </w:tcPr>
          <w:p w14:paraId="133C68CE">
            <w:pPr>
              <w:spacing w:line="500" w:lineRule="exact"/>
              <w:jc w:val="center"/>
              <w:outlineLvl w:val="9"/>
              <w:rPr>
                <w:rFonts w:eastAsia="仿宋"/>
                <w:color w:val="auto"/>
                <w:highlight w:val="none"/>
              </w:rPr>
            </w:pPr>
            <w:r>
              <w:rPr>
                <w:rFonts w:eastAsia="仿宋"/>
                <w:color w:val="auto"/>
                <w:highlight w:val="none"/>
              </w:rPr>
              <w:t>5≤X&lt;20</w:t>
            </w:r>
          </w:p>
        </w:tc>
        <w:tc>
          <w:tcPr>
            <w:tcW w:w="1164" w:type="dxa"/>
            <w:vAlign w:val="center"/>
          </w:tcPr>
          <w:p w14:paraId="0F9266C7">
            <w:pPr>
              <w:spacing w:line="500" w:lineRule="exact"/>
              <w:jc w:val="center"/>
              <w:outlineLvl w:val="9"/>
              <w:rPr>
                <w:rFonts w:eastAsia="仿宋"/>
                <w:color w:val="auto"/>
                <w:highlight w:val="none"/>
              </w:rPr>
            </w:pPr>
            <w:r>
              <w:rPr>
                <w:rFonts w:eastAsia="仿宋"/>
                <w:color w:val="auto"/>
                <w:highlight w:val="none"/>
              </w:rPr>
              <w:t>X&lt;5</w:t>
            </w:r>
          </w:p>
        </w:tc>
      </w:tr>
      <w:tr w14:paraId="03F13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continue"/>
            <w:vAlign w:val="center"/>
          </w:tcPr>
          <w:p w14:paraId="296BEB9C">
            <w:pPr>
              <w:spacing w:line="500" w:lineRule="exact"/>
              <w:jc w:val="center"/>
              <w:outlineLvl w:val="9"/>
              <w:rPr>
                <w:rFonts w:ascii="仿宋" w:hAnsi="仿宋" w:eastAsia="仿宋"/>
                <w:color w:val="auto"/>
                <w:highlight w:val="none"/>
              </w:rPr>
            </w:pPr>
          </w:p>
        </w:tc>
        <w:tc>
          <w:tcPr>
            <w:tcW w:w="1625" w:type="dxa"/>
            <w:vAlign w:val="center"/>
          </w:tcPr>
          <w:p w14:paraId="0B2D15BB">
            <w:pPr>
              <w:spacing w:line="500" w:lineRule="exact"/>
              <w:jc w:val="center"/>
              <w:outlineLvl w:val="9"/>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767" w:type="dxa"/>
            <w:vAlign w:val="center"/>
          </w:tcPr>
          <w:p w14:paraId="6BD8523D">
            <w:pPr>
              <w:spacing w:line="500" w:lineRule="exact"/>
              <w:jc w:val="center"/>
              <w:outlineLvl w:val="9"/>
              <w:rPr>
                <w:rFonts w:ascii="仿宋" w:hAnsi="仿宋" w:eastAsia="仿宋"/>
                <w:color w:val="auto"/>
                <w:highlight w:val="none"/>
              </w:rPr>
            </w:pPr>
            <w:r>
              <w:rPr>
                <w:rFonts w:ascii="仿宋" w:hAnsi="仿宋" w:eastAsia="仿宋"/>
                <w:color w:val="auto"/>
                <w:highlight w:val="none"/>
              </w:rPr>
              <w:t>万元</w:t>
            </w:r>
          </w:p>
        </w:tc>
        <w:tc>
          <w:tcPr>
            <w:tcW w:w="2055" w:type="dxa"/>
            <w:vAlign w:val="center"/>
          </w:tcPr>
          <w:p w14:paraId="4B879DC6">
            <w:pPr>
              <w:spacing w:line="500" w:lineRule="exact"/>
              <w:jc w:val="center"/>
              <w:outlineLvl w:val="9"/>
              <w:rPr>
                <w:rFonts w:eastAsia="仿宋"/>
                <w:color w:val="auto"/>
                <w:highlight w:val="none"/>
              </w:rPr>
            </w:pPr>
            <w:r>
              <w:rPr>
                <w:rFonts w:eastAsia="仿宋"/>
                <w:color w:val="auto"/>
                <w:highlight w:val="none"/>
              </w:rPr>
              <w:t>5000≤Y&lt;50000</w:t>
            </w:r>
          </w:p>
        </w:tc>
        <w:tc>
          <w:tcPr>
            <w:tcW w:w="1765" w:type="dxa"/>
            <w:vAlign w:val="center"/>
          </w:tcPr>
          <w:p w14:paraId="070B0FF3">
            <w:pPr>
              <w:spacing w:line="500" w:lineRule="exact"/>
              <w:jc w:val="center"/>
              <w:outlineLvl w:val="9"/>
              <w:rPr>
                <w:rFonts w:eastAsia="仿宋"/>
                <w:color w:val="auto"/>
                <w:highlight w:val="none"/>
              </w:rPr>
            </w:pPr>
            <w:r>
              <w:rPr>
                <w:rFonts w:eastAsia="仿宋"/>
                <w:color w:val="auto"/>
                <w:highlight w:val="none"/>
              </w:rPr>
              <w:t>1000≤Y&lt;5000</w:t>
            </w:r>
          </w:p>
        </w:tc>
        <w:tc>
          <w:tcPr>
            <w:tcW w:w="1164" w:type="dxa"/>
            <w:vAlign w:val="center"/>
          </w:tcPr>
          <w:p w14:paraId="034466FB">
            <w:pPr>
              <w:spacing w:line="500" w:lineRule="exact"/>
              <w:jc w:val="center"/>
              <w:outlineLvl w:val="9"/>
              <w:rPr>
                <w:rFonts w:eastAsia="仿宋"/>
                <w:color w:val="auto"/>
                <w:highlight w:val="none"/>
              </w:rPr>
            </w:pPr>
            <w:r>
              <w:rPr>
                <w:rFonts w:eastAsia="仿宋"/>
                <w:color w:val="auto"/>
                <w:highlight w:val="none"/>
              </w:rPr>
              <w:t>Y&lt;1000</w:t>
            </w:r>
          </w:p>
        </w:tc>
      </w:tr>
      <w:tr w14:paraId="71B2C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restart"/>
            <w:vAlign w:val="center"/>
          </w:tcPr>
          <w:p w14:paraId="58393A84">
            <w:pPr>
              <w:spacing w:line="500" w:lineRule="exact"/>
              <w:jc w:val="center"/>
              <w:outlineLvl w:val="9"/>
              <w:rPr>
                <w:rFonts w:ascii="仿宋" w:hAnsi="仿宋" w:eastAsia="仿宋"/>
                <w:color w:val="auto"/>
                <w:highlight w:val="none"/>
              </w:rPr>
            </w:pPr>
            <w:r>
              <w:rPr>
                <w:rFonts w:hint="eastAsia" w:ascii="仿宋" w:hAnsi="仿宋" w:eastAsia="仿宋"/>
                <w:color w:val="auto"/>
                <w:highlight w:val="none"/>
              </w:rPr>
              <w:t>零售业</w:t>
            </w:r>
          </w:p>
        </w:tc>
        <w:tc>
          <w:tcPr>
            <w:tcW w:w="1625" w:type="dxa"/>
            <w:vAlign w:val="center"/>
          </w:tcPr>
          <w:p w14:paraId="1D8E6C4C">
            <w:pPr>
              <w:spacing w:line="500" w:lineRule="exact"/>
              <w:jc w:val="center"/>
              <w:outlineLvl w:val="9"/>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767" w:type="dxa"/>
            <w:vAlign w:val="center"/>
          </w:tcPr>
          <w:p w14:paraId="2D70026F">
            <w:pPr>
              <w:spacing w:line="500" w:lineRule="exact"/>
              <w:jc w:val="center"/>
              <w:outlineLvl w:val="9"/>
              <w:rPr>
                <w:rFonts w:ascii="仿宋" w:hAnsi="仿宋" w:eastAsia="仿宋"/>
                <w:color w:val="auto"/>
                <w:highlight w:val="none"/>
              </w:rPr>
            </w:pPr>
            <w:r>
              <w:rPr>
                <w:rFonts w:ascii="仿宋" w:hAnsi="仿宋" w:eastAsia="仿宋"/>
                <w:color w:val="auto"/>
                <w:highlight w:val="none"/>
              </w:rPr>
              <w:t>人</w:t>
            </w:r>
          </w:p>
        </w:tc>
        <w:tc>
          <w:tcPr>
            <w:tcW w:w="2055" w:type="dxa"/>
            <w:vAlign w:val="center"/>
          </w:tcPr>
          <w:p w14:paraId="52B938CF">
            <w:pPr>
              <w:spacing w:line="500" w:lineRule="exact"/>
              <w:jc w:val="center"/>
              <w:outlineLvl w:val="9"/>
              <w:rPr>
                <w:rFonts w:eastAsia="仿宋"/>
                <w:color w:val="auto"/>
                <w:highlight w:val="none"/>
              </w:rPr>
            </w:pPr>
            <w:r>
              <w:rPr>
                <w:rFonts w:eastAsia="仿宋"/>
                <w:color w:val="auto"/>
                <w:highlight w:val="none"/>
              </w:rPr>
              <w:t>50≤X&lt;300</w:t>
            </w:r>
          </w:p>
        </w:tc>
        <w:tc>
          <w:tcPr>
            <w:tcW w:w="1765" w:type="dxa"/>
            <w:vAlign w:val="center"/>
          </w:tcPr>
          <w:p w14:paraId="07111FD2">
            <w:pPr>
              <w:spacing w:line="500" w:lineRule="exact"/>
              <w:jc w:val="center"/>
              <w:outlineLvl w:val="9"/>
              <w:rPr>
                <w:rFonts w:eastAsia="仿宋"/>
                <w:color w:val="auto"/>
                <w:highlight w:val="none"/>
              </w:rPr>
            </w:pPr>
            <w:r>
              <w:rPr>
                <w:rFonts w:eastAsia="仿宋"/>
                <w:color w:val="auto"/>
                <w:highlight w:val="none"/>
              </w:rPr>
              <w:t>10≤X&lt;50</w:t>
            </w:r>
          </w:p>
        </w:tc>
        <w:tc>
          <w:tcPr>
            <w:tcW w:w="1164" w:type="dxa"/>
            <w:vAlign w:val="center"/>
          </w:tcPr>
          <w:p w14:paraId="05076DEE">
            <w:pPr>
              <w:spacing w:line="500" w:lineRule="exact"/>
              <w:jc w:val="center"/>
              <w:outlineLvl w:val="9"/>
              <w:rPr>
                <w:rFonts w:eastAsia="仿宋"/>
                <w:color w:val="auto"/>
                <w:highlight w:val="none"/>
              </w:rPr>
            </w:pPr>
            <w:r>
              <w:rPr>
                <w:rFonts w:eastAsia="仿宋"/>
                <w:color w:val="auto"/>
                <w:highlight w:val="none"/>
              </w:rPr>
              <w:t>X&lt;10</w:t>
            </w:r>
          </w:p>
        </w:tc>
      </w:tr>
      <w:tr w14:paraId="24DB2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continue"/>
            <w:vAlign w:val="center"/>
          </w:tcPr>
          <w:p w14:paraId="762181CF">
            <w:pPr>
              <w:spacing w:line="500" w:lineRule="exact"/>
              <w:jc w:val="center"/>
              <w:outlineLvl w:val="9"/>
              <w:rPr>
                <w:rFonts w:ascii="仿宋" w:hAnsi="仿宋" w:eastAsia="仿宋"/>
                <w:color w:val="auto"/>
                <w:highlight w:val="none"/>
              </w:rPr>
            </w:pPr>
          </w:p>
        </w:tc>
        <w:tc>
          <w:tcPr>
            <w:tcW w:w="1625" w:type="dxa"/>
            <w:vAlign w:val="center"/>
          </w:tcPr>
          <w:p w14:paraId="1C1F6EE7">
            <w:pPr>
              <w:spacing w:line="500" w:lineRule="exact"/>
              <w:jc w:val="center"/>
              <w:outlineLvl w:val="9"/>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767" w:type="dxa"/>
            <w:vAlign w:val="center"/>
          </w:tcPr>
          <w:p w14:paraId="20A19875">
            <w:pPr>
              <w:spacing w:line="500" w:lineRule="exact"/>
              <w:jc w:val="center"/>
              <w:outlineLvl w:val="9"/>
              <w:rPr>
                <w:rFonts w:ascii="仿宋" w:hAnsi="仿宋" w:eastAsia="仿宋"/>
                <w:color w:val="auto"/>
                <w:highlight w:val="none"/>
              </w:rPr>
            </w:pPr>
            <w:r>
              <w:rPr>
                <w:rFonts w:ascii="仿宋" w:hAnsi="仿宋" w:eastAsia="仿宋"/>
                <w:color w:val="auto"/>
                <w:highlight w:val="none"/>
              </w:rPr>
              <w:t>万元</w:t>
            </w:r>
          </w:p>
        </w:tc>
        <w:tc>
          <w:tcPr>
            <w:tcW w:w="2055" w:type="dxa"/>
            <w:vAlign w:val="center"/>
          </w:tcPr>
          <w:p w14:paraId="4F9D6302">
            <w:pPr>
              <w:spacing w:line="500" w:lineRule="exact"/>
              <w:jc w:val="center"/>
              <w:outlineLvl w:val="9"/>
              <w:rPr>
                <w:rFonts w:eastAsia="仿宋"/>
                <w:color w:val="auto"/>
                <w:highlight w:val="none"/>
              </w:rPr>
            </w:pPr>
            <w:r>
              <w:rPr>
                <w:rFonts w:eastAsia="仿宋"/>
                <w:color w:val="auto"/>
                <w:highlight w:val="none"/>
              </w:rPr>
              <w:t>500≤Y&lt;20000</w:t>
            </w:r>
          </w:p>
        </w:tc>
        <w:tc>
          <w:tcPr>
            <w:tcW w:w="1765" w:type="dxa"/>
            <w:vAlign w:val="center"/>
          </w:tcPr>
          <w:p w14:paraId="739E1848">
            <w:pPr>
              <w:spacing w:line="500" w:lineRule="exact"/>
              <w:jc w:val="center"/>
              <w:outlineLvl w:val="9"/>
              <w:rPr>
                <w:rFonts w:eastAsia="仿宋"/>
                <w:color w:val="auto"/>
                <w:highlight w:val="none"/>
              </w:rPr>
            </w:pPr>
            <w:r>
              <w:rPr>
                <w:rFonts w:eastAsia="仿宋"/>
                <w:color w:val="auto"/>
                <w:highlight w:val="none"/>
              </w:rPr>
              <w:t>100≤Y&lt;500</w:t>
            </w:r>
          </w:p>
        </w:tc>
        <w:tc>
          <w:tcPr>
            <w:tcW w:w="1164" w:type="dxa"/>
            <w:vAlign w:val="center"/>
          </w:tcPr>
          <w:p w14:paraId="6BAFCFFF">
            <w:pPr>
              <w:spacing w:line="500" w:lineRule="exact"/>
              <w:jc w:val="center"/>
              <w:outlineLvl w:val="9"/>
              <w:rPr>
                <w:rFonts w:eastAsia="仿宋"/>
                <w:color w:val="auto"/>
                <w:highlight w:val="none"/>
              </w:rPr>
            </w:pPr>
            <w:r>
              <w:rPr>
                <w:rFonts w:eastAsia="仿宋"/>
                <w:color w:val="auto"/>
                <w:highlight w:val="none"/>
              </w:rPr>
              <w:t>Y&lt;100</w:t>
            </w:r>
          </w:p>
        </w:tc>
      </w:tr>
      <w:tr w14:paraId="1D19F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restart"/>
            <w:vAlign w:val="center"/>
          </w:tcPr>
          <w:p w14:paraId="330C9F24">
            <w:pPr>
              <w:spacing w:line="500" w:lineRule="exact"/>
              <w:jc w:val="center"/>
              <w:outlineLvl w:val="9"/>
              <w:rPr>
                <w:rFonts w:ascii="仿宋" w:hAnsi="仿宋" w:eastAsia="仿宋"/>
                <w:color w:val="auto"/>
                <w:highlight w:val="none"/>
              </w:rPr>
            </w:pPr>
            <w:r>
              <w:rPr>
                <w:rFonts w:hint="eastAsia" w:ascii="仿宋" w:hAnsi="仿宋" w:eastAsia="仿宋"/>
                <w:color w:val="auto"/>
                <w:highlight w:val="none"/>
              </w:rPr>
              <w:t>交通</w:t>
            </w:r>
            <w:r>
              <w:rPr>
                <w:rFonts w:ascii="仿宋" w:hAnsi="仿宋" w:eastAsia="仿宋"/>
                <w:color w:val="auto"/>
                <w:highlight w:val="none"/>
              </w:rPr>
              <w:t>运输业</w:t>
            </w:r>
          </w:p>
        </w:tc>
        <w:tc>
          <w:tcPr>
            <w:tcW w:w="1625" w:type="dxa"/>
            <w:vAlign w:val="center"/>
          </w:tcPr>
          <w:p w14:paraId="4B5EE1CA">
            <w:pPr>
              <w:spacing w:line="500" w:lineRule="exact"/>
              <w:jc w:val="center"/>
              <w:outlineLvl w:val="9"/>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767" w:type="dxa"/>
            <w:vAlign w:val="center"/>
          </w:tcPr>
          <w:p w14:paraId="71C1D9FF">
            <w:pPr>
              <w:spacing w:line="500" w:lineRule="exact"/>
              <w:jc w:val="center"/>
              <w:outlineLvl w:val="9"/>
              <w:rPr>
                <w:rFonts w:ascii="仿宋" w:hAnsi="仿宋" w:eastAsia="仿宋"/>
                <w:color w:val="auto"/>
                <w:highlight w:val="none"/>
              </w:rPr>
            </w:pPr>
            <w:r>
              <w:rPr>
                <w:rFonts w:ascii="仿宋" w:hAnsi="仿宋" w:eastAsia="仿宋"/>
                <w:color w:val="auto"/>
                <w:highlight w:val="none"/>
              </w:rPr>
              <w:t>人</w:t>
            </w:r>
          </w:p>
        </w:tc>
        <w:tc>
          <w:tcPr>
            <w:tcW w:w="2055" w:type="dxa"/>
            <w:vAlign w:val="center"/>
          </w:tcPr>
          <w:p w14:paraId="726EEF32">
            <w:pPr>
              <w:spacing w:line="500" w:lineRule="exact"/>
              <w:jc w:val="center"/>
              <w:outlineLvl w:val="9"/>
              <w:rPr>
                <w:rFonts w:eastAsia="仿宋"/>
                <w:color w:val="auto"/>
                <w:highlight w:val="none"/>
              </w:rPr>
            </w:pPr>
            <w:r>
              <w:rPr>
                <w:rFonts w:eastAsia="仿宋"/>
                <w:color w:val="auto"/>
                <w:highlight w:val="none"/>
              </w:rPr>
              <w:t>300≤X&lt;1000</w:t>
            </w:r>
          </w:p>
        </w:tc>
        <w:tc>
          <w:tcPr>
            <w:tcW w:w="1765" w:type="dxa"/>
            <w:vAlign w:val="center"/>
          </w:tcPr>
          <w:p w14:paraId="57EE7851">
            <w:pPr>
              <w:spacing w:line="500" w:lineRule="exact"/>
              <w:jc w:val="center"/>
              <w:outlineLvl w:val="9"/>
              <w:rPr>
                <w:rFonts w:eastAsia="仿宋"/>
                <w:color w:val="auto"/>
                <w:highlight w:val="none"/>
              </w:rPr>
            </w:pPr>
            <w:r>
              <w:rPr>
                <w:rFonts w:eastAsia="仿宋"/>
                <w:color w:val="auto"/>
                <w:highlight w:val="none"/>
              </w:rPr>
              <w:t>20≤X&lt;300</w:t>
            </w:r>
          </w:p>
        </w:tc>
        <w:tc>
          <w:tcPr>
            <w:tcW w:w="1164" w:type="dxa"/>
            <w:vAlign w:val="center"/>
          </w:tcPr>
          <w:p w14:paraId="0950A505">
            <w:pPr>
              <w:spacing w:line="500" w:lineRule="exact"/>
              <w:jc w:val="center"/>
              <w:outlineLvl w:val="9"/>
              <w:rPr>
                <w:rFonts w:eastAsia="仿宋"/>
                <w:color w:val="auto"/>
                <w:highlight w:val="none"/>
              </w:rPr>
            </w:pPr>
            <w:r>
              <w:rPr>
                <w:rFonts w:eastAsia="仿宋"/>
                <w:color w:val="auto"/>
                <w:highlight w:val="none"/>
              </w:rPr>
              <w:t>X&lt;20</w:t>
            </w:r>
          </w:p>
        </w:tc>
      </w:tr>
      <w:tr w14:paraId="6E615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continue"/>
            <w:vAlign w:val="center"/>
          </w:tcPr>
          <w:p w14:paraId="07768E31">
            <w:pPr>
              <w:spacing w:line="500" w:lineRule="exact"/>
              <w:jc w:val="center"/>
              <w:outlineLvl w:val="9"/>
              <w:rPr>
                <w:rFonts w:ascii="仿宋" w:hAnsi="仿宋" w:eastAsia="仿宋"/>
                <w:color w:val="auto"/>
                <w:highlight w:val="none"/>
              </w:rPr>
            </w:pPr>
          </w:p>
        </w:tc>
        <w:tc>
          <w:tcPr>
            <w:tcW w:w="1625" w:type="dxa"/>
            <w:vAlign w:val="center"/>
          </w:tcPr>
          <w:p w14:paraId="26E7034F">
            <w:pPr>
              <w:spacing w:line="500" w:lineRule="exact"/>
              <w:jc w:val="center"/>
              <w:outlineLvl w:val="9"/>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767" w:type="dxa"/>
            <w:vAlign w:val="center"/>
          </w:tcPr>
          <w:p w14:paraId="41530B69">
            <w:pPr>
              <w:spacing w:line="500" w:lineRule="exact"/>
              <w:jc w:val="center"/>
              <w:outlineLvl w:val="9"/>
              <w:rPr>
                <w:rFonts w:ascii="仿宋" w:hAnsi="仿宋" w:eastAsia="仿宋"/>
                <w:color w:val="auto"/>
                <w:highlight w:val="none"/>
              </w:rPr>
            </w:pPr>
            <w:r>
              <w:rPr>
                <w:rFonts w:ascii="仿宋" w:hAnsi="仿宋" w:eastAsia="仿宋"/>
                <w:color w:val="auto"/>
                <w:highlight w:val="none"/>
              </w:rPr>
              <w:t>万元</w:t>
            </w:r>
          </w:p>
        </w:tc>
        <w:tc>
          <w:tcPr>
            <w:tcW w:w="2055" w:type="dxa"/>
            <w:vAlign w:val="center"/>
          </w:tcPr>
          <w:p w14:paraId="1C77170A">
            <w:pPr>
              <w:spacing w:line="500" w:lineRule="exact"/>
              <w:jc w:val="center"/>
              <w:outlineLvl w:val="9"/>
              <w:rPr>
                <w:rFonts w:eastAsia="仿宋"/>
                <w:color w:val="auto"/>
                <w:highlight w:val="none"/>
              </w:rPr>
            </w:pPr>
            <w:r>
              <w:rPr>
                <w:rFonts w:eastAsia="仿宋"/>
                <w:color w:val="auto"/>
                <w:highlight w:val="none"/>
              </w:rPr>
              <w:t>3000≤Y&lt;30000</w:t>
            </w:r>
          </w:p>
        </w:tc>
        <w:tc>
          <w:tcPr>
            <w:tcW w:w="1765" w:type="dxa"/>
            <w:vAlign w:val="center"/>
          </w:tcPr>
          <w:p w14:paraId="3BE88600">
            <w:pPr>
              <w:spacing w:line="500" w:lineRule="exact"/>
              <w:jc w:val="center"/>
              <w:outlineLvl w:val="9"/>
              <w:rPr>
                <w:rFonts w:eastAsia="仿宋"/>
                <w:color w:val="auto"/>
                <w:highlight w:val="none"/>
              </w:rPr>
            </w:pPr>
            <w:r>
              <w:rPr>
                <w:rFonts w:eastAsia="仿宋"/>
                <w:color w:val="auto"/>
                <w:highlight w:val="none"/>
              </w:rPr>
              <w:t>200≤Y&lt;3000</w:t>
            </w:r>
          </w:p>
        </w:tc>
        <w:tc>
          <w:tcPr>
            <w:tcW w:w="1164" w:type="dxa"/>
            <w:vAlign w:val="center"/>
          </w:tcPr>
          <w:p w14:paraId="7FB33948">
            <w:pPr>
              <w:spacing w:line="500" w:lineRule="exact"/>
              <w:jc w:val="center"/>
              <w:outlineLvl w:val="9"/>
              <w:rPr>
                <w:rFonts w:eastAsia="仿宋"/>
                <w:color w:val="auto"/>
                <w:highlight w:val="none"/>
              </w:rPr>
            </w:pPr>
            <w:r>
              <w:rPr>
                <w:rFonts w:eastAsia="仿宋"/>
                <w:color w:val="auto"/>
                <w:highlight w:val="none"/>
              </w:rPr>
              <w:t>Y&lt;200</w:t>
            </w:r>
          </w:p>
        </w:tc>
      </w:tr>
      <w:tr w14:paraId="2CD4A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restart"/>
            <w:vAlign w:val="center"/>
          </w:tcPr>
          <w:p w14:paraId="228FDC46">
            <w:pPr>
              <w:spacing w:line="500" w:lineRule="exact"/>
              <w:jc w:val="center"/>
              <w:outlineLvl w:val="9"/>
              <w:rPr>
                <w:rFonts w:ascii="仿宋" w:hAnsi="仿宋" w:eastAsia="仿宋"/>
                <w:color w:val="auto"/>
                <w:highlight w:val="none"/>
              </w:rPr>
            </w:pPr>
            <w:r>
              <w:rPr>
                <w:rFonts w:hint="eastAsia" w:ascii="仿宋" w:hAnsi="仿宋" w:eastAsia="仿宋"/>
                <w:color w:val="auto"/>
                <w:highlight w:val="none"/>
              </w:rPr>
              <w:t>仓储</w:t>
            </w:r>
            <w:r>
              <w:rPr>
                <w:rFonts w:ascii="仿宋" w:hAnsi="仿宋" w:eastAsia="仿宋"/>
                <w:color w:val="auto"/>
                <w:highlight w:val="none"/>
              </w:rPr>
              <w:t>业</w:t>
            </w:r>
          </w:p>
        </w:tc>
        <w:tc>
          <w:tcPr>
            <w:tcW w:w="1625" w:type="dxa"/>
            <w:vAlign w:val="center"/>
          </w:tcPr>
          <w:p w14:paraId="00D22CD1">
            <w:pPr>
              <w:spacing w:line="500" w:lineRule="exact"/>
              <w:jc w:val="center"/>
              <w:outlineLvl w:val="9"/>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767" w:type="dxa"/>
            <w:vAlign w:val="center"/>
          </w:tcPr>
          <w:p w14:paraId="23383B14">
            <w:pPr>
              <w:spacing w:line="500" w:lineRule="exact"/>
              <w:jc w:val="center"/>
              <w:outlineLvl w:val="9"/>
              <w:rPr>
                <w:rFonts w:ascii="仿宋" w:hAnsi="仿宋" w:eastAsia="仿宋"/>
                <w:color w:val="auto"/>
                <w:highlight w:val="none"/>
              </w:rPr>
            </w:pPr>
            <w:r>
              <w:rPr>
                <w:rFonts w:ascii="仿宋" w:hAnsi="仿宋" w:eastAsia="仿宋"/>
                <w:color w:val="auto"/>
                <w:highlight w:val="none"/>
              </w:rPr>
              <w:t>人</w:t>
            </w:r>
          </w:p>
        </w:tc>
        <w:tc>
          <w:tcPr>
            <w:tcW w:w="2055" w:type="dxa"/>
            <w:vAlign w:val="center"/>
          </w:tcPr>
          <w:p w14:paraId="49C7D30A">
            <w:pPr>
              <w:spacing w:line="500" w:lineRule="exact"/>
              <w:jc w:val="center"/>
              <w:outlineLvl w:val="9"/>
              <w:rPr>
                <w:rFonts w:eastAsia="仿宋"/>
                <w:color w:val="auto"/>
                <w:highlight w:val="none"/>
              </w:rPr>
            </w:pPr>
            <w:r>
              <w:rPr>
                <w:rFonts w:eastAsia="仿宋"/>
                <w:color w:val="auto"/>
                <w:highlight w:val="none"/>
              </w:rPr>
              <w:t>100≤X&lt;200</w:t>
            </w:r>
          </w:p>
        </w:tc>
        <w:tc>
          <w:tcPr>
            <w:tcW w:w="1765" w:type="dxa"/>
            <w:vAlign w:val="center"/>
          </w:tcPr>
          <w:p w14:paraId="0DDE2D32">
            <w:pPr>
              <w:spacing w:line="500" w:lineRule="exact"/>
              <w:jc w:val="center"/>
              <w:outlineLvl w:val="9"/>
              <w:rPr>
                <w:rFonts w:eastAsia="仿宋"/>
                <w:color w:val="auto"/>
                <w:highlight w:val="none"/>
              </w:rPr>
            </w:pPr>
            <w:r>
              <w:rPr>
                <w:rFonts w:eastAsia="仿宋"/>
                <w:color w:val="auto"/>
                <w:highlight w:val="none"/>
              </w:rPr>
              <w:t>20≤X&lt;100</w:t>
            </w:r>
          </w:p>
        </w:tc>
        <w:tc>
          <w:tcPr>
            <w:tcW w:w="1164" w:type="dxa"/>
            <w:vAlign w:val="center"/>
          </w:tcPr>
          <w:p w14:paraId="60F24E79">
            <w:pPr>
              <w:spacing w:line="500" w:lineRule="exact"/>
              <w:jc w:val="center"/>
              <w:outlineLvl w:val="9"/>
              <w:rPr>
                <w:rFonts w:eastAsia="仿宋"/>
                <w:color w:val="auto"/>
                <w:highlight w:val="none"/>
              </w:rPr>
            </w:pPr>
            <w:r>
              <w:rPr>
                <w:rFonts w:eastAsia="仿宋"/>
                <w:color w:val="auto"/>
                <w:highlight w:val="none"/>
              </w:rPr>
              <w:t>X&lt;20</w:t>
            </w:r>
          </w:p>
        </w:tc>
      </w:tr>
      <w:tr w14:paraId="1E5A0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continue"/>
            <w:vAlign w:val="center"/>
          </w:tcPr>
          <w:p w14:paraId="310A97EF">
            <w:pPr>
              <w:spacing w:line="500" w:lineRule="exact"/>
              <w:jc w:val="center"/>
              <w:outlineLvl w:val="9"/>
              <w:rPr>
                <w:rFonts w:ascii="仿宋" w:hAnsi="仿宋" w:eastAsia="仿宋"/>
                <w:color w:val="auto"/>
                <w:highlight w:val="none"/>
              </w:rPr>
            </w:pPr>
          </w:p>
        </w:tc>
        <w:tc>
          <w:tcPr>
            <w:tcW w:w="1625" w:type="dxa"/>
            <w:vAlign w:val="center"/>
          </w:tcPr>
          <w:p w14:paraId="35B3E50D">
            <w:pPr>
              <w:spacing w:line="500" w:lineRule="exact"/>
              <w:jc w:val="center"/>
              <w:outlineLvl w:val="9"/>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767" w:type="dxa"/>
            <w:vAlign w:val="center"/>
          </w:tcPr>
          <w:p w14:paraId="6BDB93A1">
            <w:pPr>
              <w:spacing w:line="500" w:lineRule="exact"/>
              <w:jc w:val="center"/>
              <w:outlineLvl w:val="9"/>
              <w:rPr>
                <w:rFonts w:ascii="仿宋" w:hAnsi="仿宋" w:eastAsia="仿宋"/>
                <w:color w:val="auto"/>
                <w:highlight w:val="none"/>
              </w:rPr>
            </w:pPr>
            <w:r>
              <w:rPr>
                <w:rFonts w:ascii="仿宋" w:hAnsi="仿宋" w:eastAsia="仿宋"/>
                <w:color w:val="auto"/>
                <w:highlight w:val="none"/>
              </w:rPr>
              <w:t>万元</w:t>
            </w:r>
          </w:p>
        </w:tc>
        <w:tc>
          <w:tcPr>
            <w:tcW w:w="2055" w:type="dxa"/>
            <w:vAlign w:val="center"/>
          </w:tcPr>
          <w:p w14:paraId="5B4A51AB">
            <w:pPr>
              <w:spacing w:line="500" w:lineRule="exact"/>
              <w:jc w:val="center"/>
              <w:outlineLvl w:val="9"/>
              <w:rPr>
                <w:rFonts w:eastAsia="仿宋"/>
                <w:color w:val="auto"/>
                <w:highlight w:val="none"/>
              </w:rPr>
            </w:pPr>
            <w:r>
              <w:rPr>
                <w:rFonts w:eastAsia="仿宋"/>
                <w:color w:val="auto"/>
                <w:highlight w:val="none"/>
              </w:rPr>
              <w:t>1000≤Y&lt;30000</w:t>
            </w:r>
          </w:p>
        </w:tc>
        <w:tc>
          <w:tcPr>
            <w:tcW w:w="1765" w:type="dxa"/>
            <w:vAlign w:val="center"/>
          </w:tcPr>
          <w:p w14:paraId="7187519E">
            <w:pPr>
              <w:spacing w:line="500" w:lineRule="exact"/>
              <w:jc w:val="center"/>
              <w:outlineLvl w:val="9"/>
              <w:rPr>
                <w:rFonts w:eastAsia="仿宋"/>
                <w:color w:val="auto"/>
                <w:highlight w:val="none"/>
              </w:rPr>
            </w:pPr>
            <w:r>
              <w:rPr>
                <w:rFonts w:eastAsia="仿宋"/>
                <w:color w:val="auto"/>
                <w:highlight w:val="none"/>
              </w:rPr>
              <w:t>100≤Y&lt;1000</w:t>
            </w:r>
          </w:p>
        </w:tc>
        <w:tc>
          <w:tcPr>
            <w:tcW w:w="1164" w:type="dxa"/>
            <w:vAlign w:val="center"/>
          </w:tcPr>
          <w:p w14:paraId="164A24A1">
            <w:pPr>
              <w:spacing w:line="500" w:lineRule="exact"/>
              <w:jc w:val="center"/>
              <w:outlineLvl w:val="9"/>
              <w:rPr>
                <w:rFonts w:eastAsia="仿宋"/>
                <w:color w:val="auto"/>
                <w:highlight w:val="none"/>
              </w:rPr>
            </w:pPr>
            <w:r>
              <w:rPr>
                <w:rFonts w:eastAsia="仿宋"/>
                <w:color w:val="auto"/>
                <w:highlight w:val="none"/>
              </w:rPr>
              <w:t>Y&lt;100</w:t>
            </w:r>
          </w:p>
        </w:tc>
      </w:tr>
      <w:tr w14:paraId="4F348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restart"/>
            <w:vAlign w:val="center"/>
          </w:tcPr>
          <w:p w14:paraId="1CE61ACE">
            <w:pPr>
              <w:spacing w:line="500" w:lineRule="exact"/>
              <w:jc w:val="center"/>
              <w:outlineLvl w:val="9"/>
              <w:rPr>
                <w:rFonts w:ascii="仿宋" w:hAnsi="仿宋" w:eastAsia="仿宋"/>
                <w:color w:val="auto"/>
                <w:highlight w:val="none"/>
              </w:rPr>
            </w:pPr>
            <w:r>
              <w:rPr>
                <w:rFonts w:hint="eastAsia" w:ascii="仿宋" w:hAnsi="仿宋" w:eastAsia="仿宋"/>
                <w:color w:val="auto"/>
                <w:highlight w:val="none"/>
              </w:rPr>
              <w:t>邮</w:t>
            </w:r>
            <w:r>
              <w:rPr>
                <w:rFonts w:ascii="仿宋" w:hAnsi="仿宋" w:eastAsia="仿宋"/>
                <w:color w:val="auto"/>
                <w:highlight w:val="none"/>
              </w:rPr>
              <w:t>政业</w:t>
            </w:r>
          </w:p>
        </w:tc>
        <w:tc>
          <w:tcPr>
            <w:tcW w:w="1625" w:type="dxa"/>
            <w:vAlign w:val="center"/>
          </w:tcPr>
          <w:p w14:paraId="6ED5D590">
            <w:pPr>
              <w:spacing w:line="500" w:lineRule="exact"/>
              <w:jc w:val="center"/>
              <w:outlineLvl w:val="9"/>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767" w:type="dxa"/>
            <w:vAlign w:val="center"/>
          </w:tcPr>
          <w:p w14:paraId="25572D70">
            <w:pPr>
              <w:spacing w:line="500" w:lineRule="exact"/>
              <w:jc w:val="center"/>
              <w:outlineLvl w:val="9"/>
              <w:rPr>
                <w:rFonts w:ascii="仿宋" w:hAnsi="仿宋" w:eastAsia="仿宋"/>
                <w:color w:val="auto"/>
                <w:highlight w:val="none"/>
              </w:rPr>
            </w:pPr>
            <w:r>
              <w:rPr>
                <w:rFonts w:ascii="仿宋" w:hAnsi="仿宋" w:eastAsia="仿宋"/>
                <w:color w:val="auto"/>
                <w:highlight w:val="none"/>
              </w:rPr>
              <w:t>人</w:t>
            </w:r>
          </w:p>
        </w:tc>
        <w:tc>
          <w:tcPr>
            <w:tcW w:w="2055" w:type="dxa"/>
            <w:vAlign w:val="center"/>
          </w:tcPr>
          <w:p w14:paraId="78427D97">
            <w:pPr>
              <w:spacing w:line="500" w:lineRule="exact"/>
              <w:jc w:val="center"/>
              <w:outlineLvl w:val="9"/>
              <w:rPr>
                <w:rFonts w:eastAsia="仿宋"/>
                <w:color w:val="auto"/>
                <w:highlight w:val="none"/>
              </w:rPr>
            </w:pPr>
            <w:r>
              <w:rPr>
                <w:rFonts w:eastAsia="仿宋"/>
                <w:color w:val="auto"/>
                <w:highlight w:val="none"/>
              </w:rPr>
              <w:t>300≤X&lt;1000</w:t>
            </w:r>
          </w:p>
        </w:tc>
        <w:tc>
          <w:tcPr>
            <w:tcW w:w="1765" w:type="dxa"/>
            <w:vAlign w:val="center"/>
          </w:tcPr>
          <w:p w14:paraId="74668962">
            <w:pPr>
              <w:spacing w:line="500" w:lineRule="exact"/>
              <w:jc w:val="center"/>
              <w:outlineLvl w:val="9"/>
              <w:rPr>
                <w:rFonts w:eastAsia="仿宋"/>
                <w:color w:val="auto"/>
                <w:highlight w:val="none"/>
              </w:rPr>
            </w:pPr>
            <w:r>
              <w:rPr>
                <w:rFonts w:eastAsia="仿宋"/>
                <w:color w:val="auto"/>
                <w:highlight w:val="none"/>
              </w:rPr>
              <w:t>20≤X&lt;300</w:t>
            </w:r>
          </w:p>
        </w:tc>
        <w:tc>
          <w:tcPr>
            <w:tcW w:w="1164" w:type="dxa"/>
            <w:vAlign w:val="center"/>
          </w:tcPr>
          <w:p w14:paraId="0681A435">
            <w:pPr>
              <w:spacing w:line="500" w:lineRule="exact"/>
              <w:jc w:val="center"/>
              <w:outlineLvl w:val="9"/>
              <w:rPr>
                <w:rFonts w:eastAsia="仿宋"/>
                <w:color w:val="auto"/>
                <w:highlight w:val="none"/>
              </w:rPr>
            </w:pPr>
            <w:r>
              <w:rPr>
                <w:rFonts w:eastAsia="仿宋"/>
                <w:color w:val="auto"/>
                <w:highlight w:val="none"/>
              </w:rPr>
              <w:t>X&lt;20</w:t>
            </w:r>
          </w:p>
        </w:tc>
      </w:tr>
      <w:tr w14:paraId="4A993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continue"/>
            <w:vAlign w:val="center"/>
          </w:tcPr>
          <w:p w14:paraId="7FF6EAFD">
            <w:pPr>
              <w:spacing w:line="500" w:lineRule="exact"/>
              <w:jc w:val="center"/>
              <w:outlineLvl w:val="9"/>
              <w:rPr>
                <w:rFonts w:ascii="仿宋" w:hAnsi="仿宋" w:eastAsia="仿宋"/>
                <w:color w:val="auto"/>
                <w:highlight w:val="none"/>
              </w:rPr>
            </w:pPr>
          </w:p>
        </w:tc>
        <w:tc>
          <w:tcPr>
            <w:tcW w:w="1625" w:type="dxa"/>
            <w:vAlign w:val="center"/>
          </w:tcPr>
          <w:p w14:paraId="7DF043FE">
            <w:pPr>
              <w:spacing w:line="500" w:lineRule="exact"/>
              <w:jc w:val="center"/>
              <w:outlineLvl w:val="9"/>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767" w:type="dxa"/>
            <w:vAlign w:val="center"/>
          </w:tcPr>
          <w:p w14:paraId="7A05CE11">
            <w:pPr>
              <w:spacing w:line="500" w:lineRule="exact"/>
              <w:jc w:val="center"/>
              <w:outlineLvl w:val="9"/>
              <w:rPr>
                <w:rFonts w:ascii="仿宋" w:hAnsi="仿宋" w:eastAsia="仿宋"/>
                <w:color w:val="auto"/>
                <w:highlight w:val="none"/>
              </w:rPr>
            </w:pPr>
            <w:r>
              <w:rPr>
                <w:rFonts w:ascii="仿宋" w:hAnsi="仿宋" w:eastAsia="仿宋"/>
                <w:color w:val="auto"/>
                <w:highlight w:val="none"/>
              </w:rPr>
              <w:t>万元</w:t>
            </w:r>
          </w:p>
        </w:tc>
        <w:tc>
          <w:tcPr>
            <w:tcW w:w="2055" w:type="dxa"/>
            <w:vAlign w:val="center"/>
          </w:tcPr>
          <w:p w14:paraId="58DE9ABC">
            <w:pPr>
              <w:spacing w:line="500" w:lineRule="exact"/>
              <w:jc w:val="center"/>
              <w:outlineLvl w:val="9"/>
              <w:rPr>
                <w:rFonts w:eastAsia="仿宋"/>
                <w:color w:val="auto"/>
                <w:highlight w:val="none"/>
              </w:rPr>
            </w:pPr>
            <w:r>
              <w:rPr>
                <w:rFonts w:eastAsia="仿宋"/>
                <w:color w:val="auto"/>
                <w:highlight w:val="none"/>
              </w:rPr>
              <w:t>2000≤Y&lt;30000</w:t>
            </w:r>
          </w:p>
        </w:tc>
        <w:tc>
          <w:tcPr>
            <w:tcW w:w="1765" w:type="dxa"/>
            <w:vAlign w:val="center"/>
          </w:tcPr>
          <w:p w14:paraId="50641147">
            <w:pPr>
              <w:spacing w:line="500" w:lineRule="exact"/>
              <w:jc w:val="center"/>
              <w:outlineLvl w:val="9"/>
              <w:rPr>
                <w:rFonts w:eastAsia="仿宋"/>
                <w:color w:val="auto"/>
                <w:highlight w:val="none"/>
              </w:rPr>
            </w:pPr>
            <w:r>
              <w:rPr>
                <w:rFonts w:eastAsia="仿宋"/>
                <w:color w:val="auto"/>
                <w:highlight w:val="none"/>
              </w:rPr>
              <w:t>100≤Y&lt;2000</w:t>
            </w:r>
          </w:p>
        </w:tc>
        <w:tc>
          <w:tcPr>
            <w:tcW w:w="1164" w:type="dxa"/>
            <w:vAlign w:val="center"/>
          </w:tcPr>
          <w:p w14:paraId="446BAE68">
            <w:pPr>
              <w:spacing w:line="500" w:lineRule="exact"/>
              <w:jc w:val="center"/>
              <w:outlineLvl w:val="9"/>
              <w:rPr>
                <w:rFonts w:eastAsia="仿宋"/>
                <w:color w:val="auto"/>
                <w:highlight w:val="none"/>
              </w:rPr>
            </w:pPr>
            <w:r>
              <w:rPr>
                <w:rFonts w:eastAsia="仿宋"/>
                <w:color w:val="auto"/>
                <w:highlight w:val="none"/>
              </w:rPr>
              <w:t>Y&lt;100</w:t>
            </w:r>
          </w:p>
        </w:tc>
      </w:tr>
      <w:tr w14:paraId="1DC49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restart"/>
            <w:vAlign w:val="center"/>
          </w:tcPr>
          <w:p w14:paraId="4CD1BB87">
            <w:pPr>
              <w:spacing w:line="500" w:lineRule="exact"/>
              <w:jc w:val="center"/>
              <w:outlineLvl w:val="9"/>
              <w:rPr>
                <w:rFonts w:ascii="仿宋" w:hAnsi="仿宋" w:eastAsia="仿宋"/>
                <w:color w:val="auto"/>
                <w:highlight w:val="none"/>
              </w:rPr>
            </w:pPr>
            <w:r>
              <w:rPr>
                <w:rFonts w:hint="eastAsia" w:ascii="仿宋" w:hAnsi="仿宋" w:eastAsia="仿宋"/>
                <w:color w:val="auto"/>
                <w:highlight w:val="none"/>
              </w:rPr>
              <w:t>住</w:t>
            </w:r>
            <w:r>
              <w:rPr>
                <w:rFonts w:ascii="仿宋" w:hAnsi="仿宋" w:eastAsia="仿宋"/>
                <w:color w:val="auto"/>
                <w:highlight w:val="none"/>
              </w:rPr>
              <w:t>宿业</w:t>
            </w:r>
          </w:p>
        </w:tc>
        <w:tc>
          <w:tcPr>
            <w:tcW w:w="1625" w:type="dxa"/>
            <w:vAlign w:val="center"/>
          </w:tcPr>
          <w:p w14:paraId="679C6F06">
            <w:pPr>
              <w:spacing w:line="500" w:lineRule="exact"/>
              <w:jc w:val="center"/>
              <w:outlineLvl w:val="9"/>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767" w:type="dxa"/>
            <w:vAlign w:val="center"/>
          </w:tcPr>
          <w:p w14:paraId="63FC7C0B">
            <w:pPr>
              <w:spacing w:line="500" w:lineRule="exact"/>
              <w:jc w:val="center"/>
              <w:outlineLvl w:val="9"/>
              <w:rPr>
                <w:rFonts w:ascii="仿宋" w:hAnsi="仿宋" w:eastAsia="仿宋"/>
                <w:color w:val="auto"/>
                <w:highlight w:val="none"/>
              </w:rPr>
            </w:pPr>
            <w:r>
              <w:rPr>
                <w:rFonts w:ascii="仿宋" w:hAnsi="仿宋" w:eastAsia="仿宋"/>
                <w:color w:val="auto"/>
                <w:highlight w:val="none"/>
              </w:rPr>
              <w:t>人</w:t>
            </w:r>
          </w:p>
        </w:tc>
        <w:tc>
          <w:tcPr>
            <w:tcW w:w="2055" w:type="dxa"/>
            <w:vAlign w:val="center"/>
          </w:tcPr>
          <w:p w14:paraId="22A202FA">
            <w:pPr>
              <w:spacing w:line="500" w:lineRule="exact"/>
              <w:jc w:val="center"/>
              <w:outlineLvl w:val="9"/>
              <w:rPr>
                <w:rFonts w:eastAsia="仿宋"/>
                <w:color w:val="auto"/>
                <w:highlight w:val="none"/>
              </w:rPr>
            </w:pPr>
            <w:r>
              <w:rPr>
                <w:rFonts w:eastAsia="仿宋"/>
                <w:color w:val="auto"/>
                <w:highlight w:val="none"/>
              </w:rPr>
              <w:t>100≤X&lt;300</w:t>
            </w:r>
          </w:p>
        </w:tc>
        <w:tc>
          <w:tcPr>
            <w:tcW w:w="1765" w:type="dxa"/>
            <w:vAlign w:val="center"/>
          </w:tcPr>
          <w:p w14:paraId="4BEB3B86">
            <w:pPr>
              <w:spacing w:line="500" w:lineRule="exact"/>
              <w:jc w:val="center"/>
              <w:outlineLvl w:val="9"/>
              <w:rPr>
                <w:rFonts w:eastAsia="仿宋"/>
                <w:color w:val="auto"/>
                <w:highlight w:val="none"/>
              </w:rPr>
            </w:pPr>
            <w:r>
              <w:rPr>
                <w:rFonts w:eastAsia="仿宋"/>
                <w:color w:val="auto"/>
                <w:highlight w:val="none"/>
              </w:rPr>
              <w:t>10≤X&lt;100</w:t>
            </w:r>
          </w:p>
        </w:tc>
        <w:tc>
          <w:tcPr>
            <w:tcW w:w="1164" w:type="dxa"/>
            <w:vAlign w:val="center"/>
          </w:tcPr>
          <w:p w14:paraId="52B6A499">
            <w:pPr>
              <w:spacing w:line="500" w:lineRule="exact"/>
              <w:jc w:val="center"/>
              <w:outlineLvl w:val="9"/>
              <w:rPr>
                <w:rFonts w:eastAsia="仿宋"/>
                <w:color w:val="auto"/>
                <w:highlight w:val="none"/>
              </w:rPr>
            </w:pPr>
            <w:r>
              <w:rPr>
                <w:rFonts w:eastAsia="仿宋"/>
                <w:color w:val="auto"/>
                <w:highlight w:val="none"/>
              </w:rPr>
              <w:t>X&lt;10</w:t>
            </w:r>
          </w:p>
        </w:tc>
      </w:tr>
      <w:tr w14:paraId="61903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continue"/>
            <w:vAlign w:val="center"/>
          </w:tcPr>
          <w:p w14:paraId="04BD2444">
            <w:pPr>
              <w:spacing w:line="500" w:lineRule="exact"/>
              <w:jc w:val="center"/>
              <w:outlineLvl w:val="9"/>
              <w:rPr>
                <w:rFonts w:ascii="仿宋" w:hAnsi="仿宋" w:eastAsia="仿宋"/>
                <w:color w:val="auto"/>
                <w:highlight w:val="none"/>
              </w:rPr>
            </w:pPr>
          </w:p>
        </w:tc>
        <w:tc>
          <w:tcPr>
            <w:tcW w:w="1625" w:type="dxa"/>
            <w:vAlign w:val="center"/>
          </w:tcPr>
          <w:p w14:paraId="55AD9707">
            <w:pPr>
              <w:spacing w:line="500" w:lineRule="exact"/>
              <w:jc w:val="center"/>
              <w:outlineLvl w:val="9"/>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767" w:type="dxa"/>
            <w:vAlign w:val="center"/>
          </w:tcPr>
          <w:p w14:paraId="229FB7A3">
            <w:pPr>
              <w:spacing w:line="500" w:lineRule="exact"/>
              <w:jc w:val="center"/>
              <w:outlineLvl w:val="9"/>
              <w:rPr>
                <w:rFonts w:ascii="仿宋" w:hAnsi="仿宋" w:eastAsia="仿宋"/>
                <w:color w:val="auto"/>
                <w:highlight w:val="none"/>
              </w:rPr>
            </w:pPr>
            <w:r>
              <w:rPr>
                <w:rFonts w:ascii="仿宋" w:hAnsi="仿宋" w:eastAsia="仿宋"/>
                <w:color w:val="auto"/>
                <w:highlight w:val="none"/>
              </w:rPr>
              <w:t>万元</w:t>
            </w:r>
          </w:p>
        </w:tc>
        <w:tc>
          <w:tcPr>
            <w:tcW w:w="2055" w:type="dxa"/>
            <w:vAlign w:val="center"/>
          </w:tcPr>
          <w:p w14:paraId="0DAE7F0E">
            <w:pPr>
              <w:spacing w:line="500" w:lineRule="exact"/>
              <w:jc w:val="center"/>
              <w:outlineLvl w:val="9"/>
              <w:rPr>
                <w:rFonts w:eastAsia="仿宋"/>
                <w:color w:val="auto"/>
                <w:highlight w:val="none"/>
              </w:rPr>
            </w:pPr>
            <w:r>
              <w:rPr>
                <w:rFonts w:eastAsia="仿宋"/>
                <w:color w:val="auto"/>
                <w:highlight w:val="none"/>
              </w:rPr>
              <w:t>2000≤Y&lt;10000</w:t>
            </w:r>
          </w:p>
        </w:tc>
        <w:tc>
          <w:tcPr>
            <w:tcW w:w="1765" w:type="dxa"/>
            <w:vAlign w:val="center"/>
          </w:tcPr>
          <w:p w14:paraId="43756163">
            <w:pPr>
              <w:spacing w:line="500" w:lineRule="exact"/>
              <w:jc w:val="center"/>
              <w:outlineLvl w:val="9"/>
              <w:rPr>
                <w:rFonts w:eastAsia="仿宋"/>
                <w:color w:val="auto"/>
                <w:highlight w:val="none"/>
              </w:rPr>
            </w:pPr>
            <w:r>
              <w:rPr>
                <w:rFonts w:eastAsia="仿宋"/>
                <w:color w:val="auto"/>
                <w:highlight w:val="none"/>
              </w:rPr>
              <w:t>100≤Y&lt;2000</w:t>
            </w:r>
          </w:p>
        </w:tc>
        <w:tc>
          <w:tcPr>
            <w:tcW w:w="1164" w:type="dxa"/>
            <w:vAlign w:val="center"/>
          </w:tcPr>
          <w:p w14:paraId="2DDA9F90">
            <w:pPr>
              <w:spacing w:line="500" w:lineRule="exact"/>
              <w:jc w:val="center"/>
              <w:outlineLvl w:val="9"/>
              <w:rPr>
                <w:rFonts w:eastAsia="仿宋"/>
                <w:color w:val="auto"/>
                <w:highlight w:val="none"/>
              </w:rPr>
            </w:pPr>
            <w:r>
              <w:rPr>
                <w:rFonts w:eastAsia="仿宋"/>
                <w:color w:val="auto"/>
                <w:highlight w:val="none"/>
              </w:rPr>
              <w:t>Y&lt;100</w:t>
            </w:r>
          </w:p>
        </w:tc>
      </w:tr>
      <w:tr w14:paraId="4596F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restart"/>
            <w:vAlign w:val="center"/>
          </w:tcPr>
          <w:p w14:paraId="457885D8">
            <w:pPr>
              <w:spacing w:line="500" w:lineRule="exact"/>
              <w:jc w:val="center"/>
              <w:outlineLvl w:val="9"/>
              <w:rPr>
                <w:rFonts w:ascii="仿宋" w:hAnsi="仿宋" w:eastAsia="仿宋"/>
                <w:color w:val="auto"/>
                <w:highlight w:val="none"/>
              </w:rPr>
            </w:pPr>
            <w:r>
              <w:rPr>
                <w:rFonts w:hint="eastAsia" w:ascii="仿宋" w:hAnsi="仿宋" w:eastAsia="仿宋"/>
                <w:color w:val="auto"/>
                <w:highlight w:val="none"/>
              </w:rPr>
              <w:t>餐饮</w:t>
            </w:r>
            <w:r>
              <w:rPr>
                <w:rFonts w:ascii="仿宋" w:hAnsi="仿宋" w:eastAsia="仿宋"/>
                <w:color w:val="auto"/>
                <w:highlight w:val="none"/>
              </w:rPr>
              <w:t>业</w:t>
            </w:r>
          </w:p>
        </w:tc>
        <w:tc>
          <w:tcPr>
            <w:tcW w:w="1625" w:type="dxa"/>
            <w:vAlign w:val="center"/>
          </w:tcPr>
          <w:p w14:paraId="4799E84A">
            <w:pPr>
              <w:spacing w:line="500" w:lineRule="exact"/>
              <w:jc w:val="center"/>
              <w:outlineLvl w:val="9"/>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767" w:type="dxa"/>
            <w:vAlign w:val="center"/>
          </w:tcPr>
          <w:p w14:paraId="55B3448C">
            <w:pPr>
              <w:spacing w:line="500" w:lineRule="exact"/>
              <w:jc w:val="center"/>
              <w:outlineLvl w:val="9"/>
              <w:rPr>
                <w:rFonts w:ascii="仿宋" w:hAnsi="仿宋" w:eastAsia="仿宋"/>
                <w:color w:val="auto"/>
                <w:highlight w:val="none"/>
              </w:rPr>
            </w:pPr>
            <w:r>
              <w:rPr>
                <w:rFonts w:ascii="仿宋" w:hAnsi="仿宋" w:eastAsia="仿宋"/>
                <w:color w:val="auto"/>
                <w:highlight w:val="none"/>
              </w:rPr>
              <w:t>人</w:t>
            </w:r>
          </w:p>
        </w:tc>
        <w:tc>
          <w:tcPr>
            <w:tcW w:w="2055" w:type="dxa"/>
            <w:vAlign w:val="center"/>
          </w:tcPr>
          <w:p w14:paraId="1AC08219">
            <w:pPr>
              <w:spacing w:line="500" w:lineRule="exact"/>
              <w:jc w:val="center"/>
              <w:outlineLvl w:val="9"/>
              <w:rPr>
                <w:rFonts w:eastAsia="仿宋"/>
                <w:color w:val="auto"/>
                <w:highlight w:val="none"/>
              </w:rPr>
            </w:pPr>
            <w:r>
              <w:rPr>
                <w:rFonts w:eastAsia="仿宋"/>
                <w:color w:val="auto"/>
                <w:highlight w:val="none"/>
              </w:rPr>
              <w:t>100≤X&lt;300</w:t>
            </w:r>
          </w:p>
        </w:tc>
        <w:tc>
          <w:tcPr>
            <w:tcW w:w="1765" w:type="dxa"/>
            <w:vAlign w:val="center"/>
          </w:tcPr>
          <w:p w14:paraId="271024D8">
            <w:pPr>
              <w:spacing w:line="500" w:lineRule="exact"/>
              <w:jc w:val="center"/>
              <w:outlineLvl w:val="9"/>
              <w:rPr>
                <w:rFonts w:eastAsia="仿宋"/>
                <w:color w:val="auto"/>
                <w:highlight w:val="none"/>
              </w:rPr>
            </w:pPr>
            <w:r>
              <w:rPr>
                <w:rFonts w:eastAsia="仿宋"/>
                <w:color w:val="auto"/>
                <w:highlight w:val="none"/>
              </w:rPr>
              <w:t>10≤X&lt;100</w:t>
            </w:r>
          </w:p>
        </w:tc>
        <w:tc>
          <w:tcPr>
            <w:tcW w:w="1164" w:type="dxa"/>
            <w:vAlign w:val="center"/>
          </w:tcPr>
          <w:p w14:paraId="424CCE57">
            <w:pPr>
              <w:spacing w:line="500" w:lineRule="exact"/>
              <w:jc w:val="center"/>
              <w:outlineLvl w:val="9"/>
              <w:rPr>
                <w:rFonts w:eastAsia="仿宋"/>
                <w:color w:val="auto"/>
                <w:highlight w:val="none"/>
              </w:rPr>
            </w:pPr>
            <w:r>
              <w:rPr>
                <w:rFonts w:eastAsia="仿宋"/>
                <w:color w:val="auto"/>
                <w:highlight w:val="none"/>
              </w:rPr>
              <w:t>X&lt;10</w:t>
            </w:r>
          </w:p>
        </w:tc>
      </w:tr>
      <w:tr w14:paraId="0C9F6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continue"/>
            <w:vAlign w:val="center"/>
          </w:tcPr>
          <w:p w14:paraId="3868CDAE">
            <w:pPr>
              <w:spacing w:line="500" w:lineRule="exact"/>
              <w:jc w:val="center"/>
              <w:outlineLvl w:val="9"/>
              <w:rPr>
                <w:rFonts w:ascii="仿宋" w:hAnsi="仿宋" w:eastAsia="仿宋"/>
                <w:color w:val="auto"/>
                <w:highlight w:val="none"/>
              </w:rPr>
            </w:pPr>
          </w:p>
        </w:tc>
        <w:tc>
          <w:tcPr>
            <w:tcW w:w="1625" w:type="dxa"/>
            <w:vAlign w:val="center"/>
          </w:tcPr>
          <w:p w14:paraId="2953001D">
            <w:pPr>
              <w:spacing w:line="500" w:lineRule="exact"/>
              <w:jc w:val="center"/>
              <w:outlineLvl w:val="9"/>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767" w:type="dxa"/>
            <w:vAlign w:val="center"/>
          </w:tcPr>
          <w:p w14:paraId="40303446">
            <w:pPr>
              <w:spacing w:line="500" w:lineRule="exact"/>
              <w:jc w:val="center"/>
              <w:outlineLvl w:val="9"/>
              <w:rPr>
                <w:rFonts w:ascii="仿宋" w:hAnsi="仿宋" w:eastAsia="仿宋"/>
                <w:color w:val="auto"/>
                <w:highlight w:val="none"/>
              </w:rPr>
            </w:pPr>
            <w:r>
              <w:rPr>
                <w:rFonts w:ascii="仿宋" w:hAnsi="仿宋" w:eastAsia="仿宋"/>
                <w:color w:val="auto"/>
                <w:highlight w:val="none"/>
              </w:rPr>
              <w:t>万元</w:t>
            </w:r>
          </w:p>
        </w:tc>
        <w:tc>
          <w:tcPr>
            <w:tcW w:w="2055" w:type="dxa"/>
            <w:vAlign w:val="center"/>
          </w:tcPr>
          <w:p w14:paraId="63503918">
            <w:pPr>
              <w:spacing w:line="500" w:lineRule="exact"/>
              <w:jc w:val="center"/>
              <w:outlineLvl w:val="9"/>
              <w:rPr>
                <w:rFonts w:eastAsia="仿宋"/>
                <w:color w:val="auto"/>
                <w:highlight w:val="none"/>
              </w:rPr>
            </w:pPr>
            <w:r>
              <w:rPr>
                <w:rFonts w:eastAsia="仿宋"/>
                <w:color w:val="auto"/>
                <w:highlight w:val="none"/>
              </w:rPr>
              <w:t>2000≤Y&lt;10000</w:t>
            </w:r>
          </w:p>
        </w:tc>
        <w:tc>
          <w:tcPr>
            <w:tcW w:w="1765" w:type="dxa"/>
            <w:vAlign w:val="center"/>
          </w:tcPr>
          <w:p w14:paraId="36958FB7">
            <w:pPr>
              <w:spacing w:line="500" w:lineRule="exact"/>
              <w:jc w:val="center"/>
              <w:outlineLvl w:val="9"/>
              <w:rPr>
                <w:rFonts w:eastAsia="仿宋"/>
                <w:color w:val="auto"/>
                <w:highlight w:val="none"/>
              </w:rPr>
            </w:pPr>
            <w:r>
              <w:rPr>
                <w:rFonts w:eastAsia="仿宋"/>
                <w:color w:val="auto"/>
                <w:highlight w:val="none"/>
              </w:rPr>
              <w:t>100≤Y&lt;2000</w:t>
            </w:r>
          </w:p>
        </w:tc>
        <w:tc>
          <w:tcPr>
            <w:tcW w:w="1164" w:type="dxa"/>
            <w:vAlign w:val="center"/>
          </w:tcPr>
          <w:p w14:paraId="12E9FE25">
            <w:pPr>
              <w:spacing w:line="500" w:lineRule="exact"/>
              <w:jc w:val="center"/>
              <w:outlineLvl w:val="9"/>
              <w:rPr>
                <w:rFonts w:eastAsia="仿宋"/>
                <w:color w:val="auto"/>
                <w:highlight w:val="none"/>
              </w:rPr>
            </w:pPr>
            <w:r>
              <w:rPr>
                <w:rFonts w:eastAsia="仿宋"/>
                <w:color w:val="auto"/>
                <w:highlight w:val="none"/>
              </w:rPr>
              <w:t>Y&lt;100</w:t>
            </w:r>
          </w:p>
        </w:tc>
      </w:tr>
      <w:tr w14:paraId="12A60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restart"/>
            <w:vAlign w:val="center"/>
          </w:tcPr>
          <w:p w14:paraId="31D169F7">
            <w:pPr>
              <w:spacing w:line="500" w:lineRule="exact"/>
              <w:jc w:val="center"/>
              <w:outlineLvl w:val="9"/>
              <w:rPr>
                <w:rFonts w:ascii="仿宋" w:hAnsi="仿宋" w:eastAsia="仿宋"/>
                <w:color w:val="auto"/>
                <w:highlight w:val="none"/>
              </w:rPr>
            </w:pPr>
            <w:r>
              <w:rPr>
                <w:rFonts w:hint="eastAsia" w:ascii="仿宋" w:hAnsi="仿宋" w:eastAsia="仿宋"/>
                <w:color w:val="auto"/>
                <w:highlight w:val="none"/>
              </w:rPr>
              <w:t>信息</w:t>
            </w:r>
            <w:r>
              <w:rPr>
                <w:rFonts w:ascii="仿宋" w:hAnsi="仿宋" w:eastAsia="仿宋"/>
                <w:color w:val="auto"/>
                <w:highlight w:val="none"/>
              </w:rPr>
              <w:t>传输业</w:t>
            </w:r>
          </w:p>
        </w:tc>
        <w:tc>
          <w:tcPr>
            <w:tcW w:w="1625" w:type="dxa"/>
            <w:vAlign w:val="center"/>
          </w:tcPr>
          <w:p w14:paraId="474B29FC">
            <w:pPr>
              <w:spacing w:line="500" w:lineRule="exact"/>
              <w:jc w:val="center"/>
              <w:outlineLvl w:val="9"/>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767" w:type="dxa"/>
            <w:vAlign w:val="center"/>
          </w:tcPr>
          <w:p w14:paraId="57F543D9">
            <w:pPr>
              <w:spacing w:line="500" w:lineRule="exact"/>
              <w:jc w:val="center"/>
              <w:outlineLvl w:val="9"/>
              <w:rPr>
                <w:rFonts w:ascii="仿宋" w:hAnsi="仿宋" w:eastAsia="仿宋"/>
                <w:color w:val="auto"/>
                <w:highlight w:val="none"/>
              </w:rPr>
            </w:pPr>
            <w:r>
              <w:rPr>
                <w:rFonts w:ascii="仿宋" w:hAnsi="仿宋" w:eastAsia="仿宋"/>
                <w:color w:val="auto"/>
                <w:highlight w:val="none"/>
              </w:rPr>
              <w:t>人</w:t>
            </w:r>
          </w:p>
        </w:tc>
        <w:tc>
          <w:tcPr>
            <w:tcW w:w="2055" w:type="dxa"/>
            <w:vAlign w:val="center"/>
          </w:tcPr>
          <w:p w14:paraId="0FDC40D7">
            <w:pPr>
              <w:spacing w:line="500" w:lineRule="exact"/>
              <w:jc w:val="center"/>
              <w:outlineLvl w:val="9"/>
              <w:rPr>
                <w:rFonts w:eastAsia="仿宋"/>
                <w:color w:val="auto"/>
                <w:highlight w:val="none"/>
              </w:rPr>
            </w:pPr>
            <w:r>
              <w:rPr>
                <w:rFonts w:eastAsia="仿宋"/>
                <w:color w:val="auto"/>
                <w:highlight w:val="none"/>
              </w:rPr>
              <w:t>100≤X&lt;2000</w:t>
            </w:r>
          </w:p>
        </w:tc>
        <w:tc>
          <w:tcPr>
            <w:tcW w:w="1765" w:type="dxa"/>
            <w:vAlign w:val="center"/>
          </w:tcPr>
          <w:p w14:paraId="6D92EE60">
            <w:pPr>
              <w:spacing w:line="500" w:lineRule="exact"/>
              <w:jc w:val="center"/>
              <w:outlineLvl w:val="9"/>
              <w:rPr>
                <w:rFonts w:eastAsia="仿宋"/>
                <w:color w:val="auto"/>
                <w:highlight w:val="none"/>
              </w:rPr>
            </w:pPr>
            <w:r>
              <w:rPr>
                <w:rFonts w:eastAsia="仿宋"/>
                <w:color w:val="auto"/>
                <w:highlight w:val="none"/>
              </w:rPr>
              <w:t>10≤X&lt;100</w:t>
            </w:r>
          </w:p>
        </w:tc>
        <w:tc>
          <w:tcPr>
            <w:tcW w:w="1164" w:type="dxa"/>
            <w:vAlign w:val="center"/>
          </w:tcPr>
          <w:p w14:paraId="7B86F93F">
            <w:pPr>
              <w:spacing w:line="500" w:lineRule="exact"/>
              <w:jc w:val="center"/>
              <w:outlineLvl w:val="9"/>
              <w:rPr>
                <w:rFonts w:eastAsia="仿宋"/>
                <w:color w:val="auto"/>
                <w:highlight w:val="none"/>
              </w:rPr>
            </w:pPr>
            <w:r>
              <w:rPr>
                <w:rFonts w:eastAsia="仿宋"/>
                <w:color w:val="auto"/>
                <w:highlight w:val="none"/>
              </w:rPr>
              <w:t>X&lt;10</w:t>
            </w:r>
          </w:p>
        </w:tc>
      </w:tr>
      <w:tr w14:paraId="34924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continue"/>
            <w:vAlign w:val="center"/>
          </w:tcPr>
          <w:p w14:paraId="2A479D62">
            <w:pPr>
              <w:spacing w:line="500" w:lineRule="exact"/>
              <w:jc w:val="center"/>
              <w:outlineLvl w:val="9"/>
              <w:rPr>
                <w:rFonts w:ascii="仿宋" w:hAnsi="仿宋" w:eastAsia="仿宋"/>
                <w:color w:val="auto"/>
                <w:highlight w:val="none"/>
              </w:rPr>
            </w:pPr>
          </w:p>
        </w:tc>
        <w:tc>
          <w:tcPr>
            <w:tcW w:w="1625" w:type="dxa"/>
            <w:vAlign w:val="center"/>
          </w:tcPr>
          <w:p w14:paraId="63A4876E">
            <w:pPr>
              <w:spacing w:line="500" w:lineRule="exact"/>
              <w:jc w:val="center"/>
              <w:outlineLvl w:val="9"/>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767" w:type="dxa"/>
            <w:vAlign w:val="center"/>
          </w:tcPr>
          <w:p w14:paraId="1716396C">
            <w:pPr>
              <w:spacing w:line="500" w:lineRule="exact"/>
              <w:jc w:val="center"/>
              <w:outlineLvl w:val="9"/>
              <w:rPr>
                <w:rFonts w:ascii="仿宋" w:hAnsi="仿宋" w:eastAsia="仿宋"/>
                <w:color w:val="auto"/>
                <w:highlight w:val="none"/>
              </w:rPr>
            </w:pPr>
            <w:r>
              <w:rPr>
                <w:rFonts w:ascii="仿宋" w:hAnsi="仿宋" w:eastAsia="仿宋"/>
                <w:color w:val="auto"/>
                <w:highlight w:val="none"/>
              </w:rPr>
              <w:t>万元</w:t>
            </w:r>
          </w:p>
        </w:tc>
        <w:tc>
          <w:tcPr>
            <w:tcW w:w="2055" w:type="dxa"/>
            <w:vAlign w:val="center"/>
          </w:tcPr>
          <w:p w14:paraId="0C6B882D">
            <w:pPr>
              <w:spacing w:line="500" w:lineRule="exact"/>
              <w:jc w:val="center"/>
              <w:outlineLvl w:val="9"/>
              <w:rPr>
                <w:rFonts w:eastAsia="仿宋"/>
                <w:color w:val="auto"/>
                <w:highlight w:val="none"/>
              </w:rPr>
            </w:pPr>
            <w:r>
              <w:rPr>
                <w:rFonts w:eastAsia="仿宋"/>
                <w:color w:val="auto"/>
                <w:highlight w:val="none"/>
              </w:rPr>
              <w:t>1000≤Y&lt;100000</w:t>
            </w:r>
          </w:p>
        </w:tc>
        <w:tc>
          <w:tcPr>
            <w:tcW w:w="1765" w:type="dxa"/>
            <w:vAlign w:val="center"/>
          </w:tcPr>
          <w:p w14:paraId="340D9256">
            <w:pPr>
              <w:spacing w:line="500" w:lineRule="exact"/>
              <w:jc w:val="center"/>
              <w:outlineLvl w:val="9"/>
              <w:rPr>
                <w:rFonts w:eastAsia="仿宋"/>
                <w:color w:val="auto"/>
                <w:highlight w:val="none"/>
              </w:rPr>
            </w:pPr>
            <w:r>
              <w:rPr>
                <w:rFonts w:eastAsia="仿宋"/>
                <w:color w:val="auto"/>
                <w:highlight w:val="none"/>
              </w:rPr>
              <w:t>100≤Y&lt;1000</w:t>
            </w:r>
          </w:p>
        </w:tc>
        <w:tc>
          <w:tcPr>
            <w:tcW w:w="1164" w:type="dxa"/>
            <w:vAlign w:val="center"/>
          </w:tcPr>
          <w:p w14:paraId="08F6935E">
            <w:pPr>
              <w:spacing w:line="500" w:lineRule="exact"/>
              <w:jc w:val="center"/>
              <w:outlineLvl w:val="9"/>
              <w:rPr>
                <w:rFonts w:eastAsia="仿宋"/>
                <w:color w:val="auto"/>
                <w:highlight w:val="none"/>
              </w:rPr>
            </w:pPr>
            <w:r>
              <w:rPr>
                <w:rFonts w:eastAsia="仿宋"/>
                <w:color w:val="auto"/>
                <w:highlight w:val="none"/>
              </w:rPr>
              <w:t>Y&lt;100</w:t>
            </w:r>
          </w:p>
        </w:tc>
      </w:tr>
      <w:tr w14:paraId="7ED33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restart"/>
            <w:vAlign w:val="center"/>
          </w:tcPr>
          <w:p w14:paraId="216F621B">
            <w:pPr>
              <w:spacing w:line="500" w:lineRule="exact"/>
              <w:jc w:val="center"/>
              <w:outlineLvl w:val="9"/>
              <w:rPr>
                <w:rFonts w:ascii="仿宋" w:hAnsi="仿宋" w:eastAsia="仿宋"/>
                <w:color w:val="auto"/>
                <w:highlight w:val="none"/>
              </w:rPr>
            </w:pPr>
            <w:r>
              <w:rPr>
                <w:rFonts w:hint="eastAsia" w:ascii="仿宋" w:hAnsi="仿宋" w:eastAsia="仿宋"/>
                <w:color w:val="auto"/>
                <w:highlight w:val="none"/>
              </w:rPr>
              <w:t>软件</w:t>
            </w:r>
            <w:r>
              <w:rPr>
                <w:rFonts w:ascii="仿宋" w:hAnsi="仿宋" w:eastAsia="仿宋"/>
                <w:color w:val="auto"/>
                <w:highlight w:val="none"/>
              </w:rPr>
              <w:t>和信息技术服务业</w:t>
            </w:r>
          </w:p>
        </w:tc>
        <w:tc>
          <w:tcPr>
            <w:tcW w:w="1625" w:type="dxa"/>
            <w:vAlign w:val="center"/>
          </w:tcPr>
          <w:p w14:paraId="1A6B88A7">
            <w:pPr>
              <w:spacing w:line="500" w:lineRule="exact"/>
              <w:jc w:val="center"/>
              <w:outlineLvl w:val="9"/>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767" w:type="dxa"/>
            <w:vAlign w:val="center"/>
          </w:tcPr>
          <w:p w14:paraId="7DFC9BF1">
            <w:pPr>
              <w:spacing w:line="500" w:lineRule="exact"/>
              <w:jc w:val="center"/>
              <w:outlineLvl w:val="9"/>
              <w:rPr>
                <w:rFonts w:ascii="仿宋" w:hAnsi="仿宋" w:eastAsia="仿宋"/>
                <w:color w:val="auto"/>
                <w:highlight w:val="none"/>
              </w:rPr>
            </w:pPr>
            <w:r>
              <w:rPr>
                <w:rFonts w:ascii="仿宋" w:hAnsi="仿宋" w:eastAsia="仿宋"/>
                <w:color w:val="auto"/>
                <w:highlight w:val="none"/>
              </w:rPr>
              <w:t>人</w:t>
            </w:r>
          </w:p>
        </w:tc>
        <w:tc>
          <w:tcPr>
            <w:tcW w:w="2055" w:type="dxa"/>
            <w:vAlign w:val="center"/>
          </w:tcPr>
          <w:p w14:paraId="1B8F6947">
            <w:pPr>
              <w:spacing w:line="500" w:lineRule="exact"/>
              <w:jc w:val="center"/>
              <w:outlineLvl w:val="9"/>
              <w:rPr>
                <w:rFonts w:eastAsia="仿宋"/>
                <w:color w:val="auto"/>
                <w:highlight w:val="none"/>
              </w:rPr>
            </w:pPr>
            <w:r>
              <w:rPr>
                <w:rFonts w:eastAsia="仿宋"/>
                <w:color w:val="auto"/>
                <w:highlight w:val="none"/>
              </w:rPr>
              <w:t>100≤X&lt;300</w:t>
            </w:r>
          </w:p>
        </w:tc>
        <w:tc>
          <w:tcPr>
            <w:tcW w:w="1765" w:type="dxa"/>
            <w:vAlign w:val="center"/>
          </w:tcPr>
          <w:p w14:paraId="6A9D8172">
            <w:pPr>
              <w:spacing w:line="500" w:lineRule="exact"/>
              <w:jc w:val="center"/>
              <w:outlineLvl w:val="9"/>
              <w:rPr>
                <w:rFonts w:eastAsia="仿宋"/>
                <w:color w:val="auto"/>
                <w:highlight w:val="none"/>
              </w:rPr>
            </w:pPr>
            <w:r>
              <w:rPr>
                <w:rFonts w:eastAsia="仿宋"/>
                <w:color w:val="auto"/>
                <w:highlight w:val="none"/>
              </w:rPr>
              <w:t>10≤X&lt;100</w:t>
            </w:r>
          </w:p>
        </w:tc>
        <w:tc>
          <w:tcPr>
            <w:tcW w:w="1164" w:type="dxa"/>
            <w:vAlign w:val="center"/>
          </w:tcPr>
          <w:p w14:paraId="68665B80">
            <w:pPr>
              <w:spacing w:line="500" w:lineRule="exact"/>
              <w:jc w:val="center"/>
              <w:outlineLvl w:val="9"/>
              <w:rPr>
                <w:rFonts w:eastAsia="仿宋"/>
                <w:color w:val="auto"/>
                <w:highlight w:val="none"/>
              </w:rPr>
            </w:pPr>
            <w:r>
              <w:rPr>
                <w:rFonts w:eastAsia="仿宋"/>
                <w:color w:val="auto"/>
                <w:highlight w:val="none"/>
              </w:rPr>
              <w:t>X&lt;10</w:t>
            </w:r>
          </w:p>
        </w:tc>
      </w:tr>
      <w:tr w14:paraId="193B1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continue"/>
            <w:vAlign w:val="center"/>
          </w:tcPr>
          <w:p w14:paraId="0200377A">
            <w:pPr>
              <w:spacing w:line="500" w:lineRule="exact"/>
              <w:jc w:val="center"/>
              <w:outlineLvl w:val="9"/>
              <w:rPr>
                <w:rFonts w:ascii="仿宋" w:hAnsi="仿宋" w:eastAsia="仿宋"/>
                <w:color w:val="auto"/>
                <w:highlight w:val="none"/>
              </w:rPr>
            </w:pPr>
          </w:p>
        </w:tc>
        <w:tc>
          <w:tcPr>
            <w:tcW w:w="1625" w:type="dxa"/>
            <w:vAlign w:val="center"/>
          </w:tcPr>
          <w:p w14:paraId="1BAAD8B8">
            <w:pPr>
              <w:spacing w:line="500" w:lineRule="exact"/>
              <w:jc w:val="center"/>
              <w:outlineLvl w:val="9"/>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767" w:type="dxa"/>
            <w:vAlign w:val="center"/>
          </w:tcPr>
          <w:p w14:paraId="07941B1C">
            <w:pPr>
              <w:spacing w:line="500" w:lineRule="exact"/>
              <w:jc w:val="center"/>
              <w:outlineLvl w:val="9"/>
              <w:rPr>
                <w:rFonts w:ascii="仿宋" w:hAnsi="仿宋" w:eastAsia="仿宋"/>
                <w:color w:val="auto"/>
                <w:highlight w:val="none"/>
              </w:rPr>
            </w:pPr>
            <w:r>
              <w:rPr>
                <w:rFonts w:ascii="仿宋" w:hAnsi="仿宋" w:eastAsia="仿宋"/>
                <w:color w:val="auto"/>
                <w:highlight w:val="none"/>
              </w:rPr>
              <w:t>万元</w:t>
            </w:r>
          </w:p>
        </w:tc>
        <w:tc>
          <w:tcPr>
            <w:tcW w:w="2055" w:type="dxa"/>
            <w:vAlign w:val="center"/>
          </w:tcPr>
          <w:p w14:paraId="4D098913">
            <w:pPr>
              <w:spacing w:line="500" w:lineRule="exact"/>
              <w:jc w:val="center"/>
              <w:outlineLvl w:val="9"/>
              <w:rPr>
                <w:rFonts w:eastAsia="仿宋"/>
                <w:color w:val="auto"/>
                <w:highlight w:val="none"/>
              </w:rPr>
            </w:pPr>
            <w:r>
              <w:rPr>
                <w:rFonts w:eastAsia="仿宋"/>
                <w:color w:val="auto"/>
                <w:highlight w:val="none"/>
              </w:rPr>
              <w:t>1000≤Y&lt;10000</w:t>
            </w:r>
          </w:p>
        </w:tc>
        <w:tc>
          <w:tcPr>
            <w:tcW w:w="1765" w:type="dxa"/>
            <w:vAlign w:val="center"/>
          </w:tcPr>
          <w:p w14:paraId="6833F3B7">
            <w:pPr>
              <w:spacing w:line="500" w:lineRule="exact"/>
              <w:jc w:val="center"/>
              <w:outlineLvl w:val="9"/>
              <w:rPr>
                <w:rFonts w:eastAsia="仿宋"/>
                <w:color w:val="auto"/>
                <w:highlight w:val="none"/>
              </w:rPr>
            </w:pPr>
            <w:r>
              <w:rPr>
                <w:rFonts w:eastAsia="仿宋"/>
                <w:color w:val="auto"/>
                <w:highlight w:val="none"/>
              </w:rPr>
              <w:t>50≤Y&lt;1000</w:t>
            </w:r>
          </w:p>
        </w:tc>
        <w:tc>
          <w:tcPr>
            <w:tcW w:w="1164" w:type="dxa"/>
            <w:vAlign w:val="center"/>
          </w:tcPr>
          <w:p w14:paraId="38E0A2C8">
            <w:pPr>
              <w:spacing w:line="500" w:lineRule="exact"/>
              <w:jc w:val="center"/>
              <w:outlineLvl w:val="9"/>
              <w:rPr>
                <w:rFonts w:eastAsia="仿宋"/>
                <w:color w:val="auto"/>
                <w:highlight w:val="none"/>
              </w:rPr>
            </w:pPr>
            <w:r>
              <w:rPr>
                <w:rFonts w:eastAsia="仿宋"/>
                <w:color w:val="auto"/>
                <w:highlight w:val="none"/>
              </w:rPr>
              <w:t>Y&lt;50</w:t>
            </w:r>
          </w:p>
        </w:tc>
      </w:tr>
      <w:tr w14:paraId="56CCB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restart"/>
            <w:vAlign w:val="center"/>
          </w:tcPr>
          <w:p w14:paraId="158E2A52">
            <w:pPr>
              <w:spacing w:line="500" w:lineRule="exact"/>
              <w:jc w:val="center"/>
              <w:outlineLvl w:val="9"/>
              <w:rPr>
                <w:rFonts w:ascii="仿宋" w:hAnsi="仿宋" w:eastAsia="仿宋"/>
                <w:color w:val="auto"/>
                <w:highlight w:val="none"/>
              </w:rPr>
            </w:pPr>
            <w:r>
              <w:rPr>
                <w:rFonts w:hint="eastAsia" w:ascii="仿宋" w:hAnsi="仿宋" w:eastAsia="仿宋"/>
                <w:color w:val="auto"/>
                <w:highlight w:val="none"/>
              </w:rPr>
              <w:t>房</w:t>
            </w:r>
            <w:r>
              <w:rPr>
                <w:rFonts w:ascii="仿宋" w:hAnsi="仿宋" w:eastAsia="仿宋"/>
                <w:color w:val="auto"/>
                <w:highlight w:val="none"/>
              </w:rPr>
              <w:t>地产开发经营</w:t>
            </w:r>
          </w:p>
        </w:tc>
        <w:tc>
          <w:tcPr>
            <w:tcW w:w="1625" w:type="dxa"/>
            <w:vAlign w:val="center"/>
          </w:tcPr>
          <w:p w14:paraId="29DFDD2F">
            <w:pPr>
              <w:spacing w:line="500" w:lineRule="exact"/>
              <w:jc w:val="center"/>
              <w:outlineLvl w:val="9"/>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767" w:type="dxa"/>
            <w:vAlign w:val="center"/>
          </w:tcPr>
          <w:p w14:paraId="180F9A65">
            <w:pPr>
              <w:spacing w:line="500" w:lineRule="exact"/>
              <w:jc w:val="center"/>
              <w:outlineLvl w:val="9"/>
              <w:rPr>
                <w:rFonts w:ascii="仿宋" w:hAnsi="仿宋" w:eastAsia="仿宋"/>
                <w:color w:val="auto"/>
                <w:highlight w:val="none"/>
              </w:rPr>
            </w:pPr>
            <w:r>
              <w:rPr>
                <w:rFonts w:ascii="仿宋" w:hAnsi="仿宋" w:eastAsia="仿宋"/>
                <w:color w:val="auto"/>
                <w:highlight w:val="none"/>
              </w:rPr>
              <w:t>万元</w:t>
            </w:r>
          </w:p>
        </w:tc>
        <w:tc>
          <w:tcPr>
            <w:tcW w:w="2055" w:type="dxa"/>
            <w:vAlign w:val="center"/>
          </w:tcPr>
          <w:p w14:paraId="209F88BB">
            <w:pPr>
              <w:spacing w:line="500" w:lineRule="exact"/>
              <w:jc w:val="center"/>
              <w:outlineLvl w:val="9"/>
              <w:rPr>
                <w:rFonts w:eastAsia="仿宋"/>
                <w:color w:val="auto"/>
                <w:highlight w:val="none"/>
              </w:rPr>
            </w:pPr>
            <w:r>
              <w:rPr>
                <w:rFonts w:eastAsia="仿宋"/>
                <w:color w:val="auto"/>
                <w:highlight w:val="none"/>
              </w:rPr>
              <w:t>1000≤Y&lt;200000</w:t>
            </w:r>
          </w:p>
        </w:tc>
        <w:tc>
          <w:tcPr>
            <w:tcW w:w="1765" w:type="dxa"/>
            <w:vAlign w:val="center"/>
          </w:tcPr>
          <w:p w14:paraId="40A23D6C">
            <w:pPr>
              <w:spacing w:line="500" w:lineRule="exact"/>
              <w:jc w:val="center"/>
              <w:outlineLvl w:val="9"/>
              <w:rPr>
                <w:rFonts w:eastAsia="仿宋"/>
                <w:color w:val="auto"/>
                <w:highlight w:val="none"/>
              </w:rPr>
            </w:pPr>
            <w:r>
              <w:rPr>
                <w:rFonts w:eastAsia="仿宋"/>
                <w:color w:val="auto"/>
                <w:highlight w:val="none"/>
              </w:rPr>
              <w:t>100≤Y&lt;1000</w:t>
            </w:r>
          </w:p>
        </w:tc>
        <w:tc>
          <w:tcPr>
            <w:tcW w:w="1164" w:type="dxa"/>
            <w:vAlign w:val="center"/>
          </w:tcPr>
          <w:p w14:paraId="21CA67E5">
            <w:pPr>
              <w:spacing w:line="500" w:lineRule="exact"/>
              <w:jc w:val="center"/>
              <w:outlineLvl w:val="9"/>
              <w:rPr>
                <w:rFonts w:eastAsia="仿宋"/>
                <w:color w:val="auto"/>
                <w:highlight w:val="none"/>
              </w:rPr>
            </w:pPr>
            <w:r>
              <w:rPr>
                <w:rFonts w:eastAsia="仿宋"/>
                <w:color w:val="auto"/>
                <w:highlight w:val="none"/>
              </w:rPr>
              <w:t>Y&lt;100</w:t>
            </w:r>
          </w:p>
        </w:tc>
      </w:tr>
      <w:tr w14:paraId="5BE23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continue"/>
            <w:vAlign w:val="center"/>
          </w:tcPr>
          <w:p w14:paraId="28D51355">
            <w:pPr>
              <w:spacing w:line="500" w:lineRule="exact"/>
              <w:jc w:val="center"/>
              <w:outlineLvl w:val="9"/>
              <w:rPr>
                <w:rFonts w:ascii="仿宋" w:hAnsi="仿宋" w:eastAsia="仿宋"/>
                <w:color w:val="auto"/>
                <w:highlight w:val="none"/>
              </w:rPr>
            </w:pPr>
          </w:p>
        </w:tc>
        <w:tc>
          <w:tcPr>
            <w:tcW w:w="1625" w:type="dxa"/>
            <w:vAlign w:val="center"/>
          </w:tcPr>
          <w:p w14:paraId="512FF4AE">
            <w:pPr>
              <w:spacing w:line="500" w:lineRule="exact"/>
              <w:jc w:val="center"/>
              <w:outlineLvl w:val="9"/>
              <w:rPr>
                <w:rFonts w:ascii="仿宋" w:hAnsi="仿宋" w:eastAsia="仿宋"/>
                <w:color w:val="auto"/>
                <w:highlight w:val="none"/>
              </w:rPr>
            </w:pPr>
            <w:r>
              <w:rPr>
                <w:rFonts w:hint="eastAsia" w:ascii="仿宋" w:hAnsi="仿宋" w:eastAsia="仿宋"/>
                <w:color w:val="auto"/>
                <w:highlight w:val="none"/>
              </w:rPr>
              <w:t>资产</w:t>
            </w:r>
            <w:r>
              <w:rPr>
                <w:rFonts w:ascii="仿宋" w:hAnsi="仿宋" w:eastAsia="仿宋"/>
                <w:color w:val="auto"/>
                <w:highlight w:val="none"/>
              </w:rPr>
              <w:t>总额（</w:t>
            </w:r>
            <w:r>
              <w:rPr>
                <w:rFonts w:hint="eastAsia" w:ascii="仿宋" w:hAnsi="仿宋" w:eastAsia="仿宋"/>
                <w:color w:val="auto"/>
                <w:highlight w:val="none"/>
              </w:rPr>
              <w:t>Z）</w:t>
            </w:r>
          </w:p>
        </w:tc>
        <w:tc>
          <w:tcPr>
            <w:tcW w:w="767" w:type="dxa"/>
            <w:vAlign w:val="center"/>
          </w:tcPr>
          <w:p w14:paraId="58428111">
            <w:pPr>
              <w:spacing w:line="500" w:lineRule="exact"/>
              <w:jc w:val="center"/>
              <w:outlineLvl w:val="9"/>
              <w:rPr>
                <w:rFonts w:ascii="仿宋" w:hAnsi="仿宋" w:eastAsia="仿宋"/>
                <w:color w:val="auto"/>
                <w:highlight w:val="none"/>
              </w:rPr>
            </w:pPr>
            <w:r>
              <w:rPr>
                <w:rFonts w:ascii="仿宋" w:hAnsi="仿宋" w:eastAsia="仿宋"/>
                <w:color w:val="auto"/>
                <w:highlight w:val="none"/>
              </w:rPr>
              <w:t>万元</w:t>
            </w:r>
          </w:p>
        </w:tc>
        <w:tc>
          <w:tcPr>
            <w:tcW w:w="2055" w:type="dxa"/>
            <w:vAlign w:val="center"/>
          </w:tcPr>
          <w:p w14:paraId="53EEB87F">
            <w:pPr>
              <w:spacing w:line="500" w:lineRule="exact"/>
              <w:jc w:val="center"/>
              <w:outlineLvl w:val="9"/>
              <w:rPr>
                <w:rFonts w:eastAsia="仿宋"/>
                <w:color w:val="auto"/>
                <w:highlight w:val="none"/>
              </w:rPr>
            </w:pPr>
            <w:r>
              <w:rPr>
                <w:rFonts w:eastAsia="仿宋"/>
                <w:color w:val="auto"/>
                <w:highlight w:val="none"/>
              </w:rPr>
              <w:t>5000≤Z &lt;10000</w:t>
            </w:r>
          </w:p>
        </w:tc>
        <w:tc>
          <w:tcPr>
            <w:tcW w:w="1765" w:type="dxa"/>
            <w:vAlign w:val="center"/>
          </w:tcPr>
          <w:p w14:paraId="3174264F">
            <w:pPr>
              <w:spacing w:line="500" w:lineRule="exact"/>
              <w:jc w:val="center"/>
              <w:outlineLvl w:val="9"/>
              <w:rPr>
                <w:rFonts w:eastAsia="仿宋"/>
                <w:color w:val="auto"/>
                <w:highlight w:val="none"/>
              </w:rPr>
            </w:pPr>
            <w:r>
              <w:rPr>
                <w:rFonts w:eastAsia="仿宋"/>
                <w:color w:val="auto"/>
                <w:highlight w:val="none"/>
              </w:rPr>
              <w:t>2000≤Z &lt;5000</w:t>
            </w:r>
          </w:p>
        </w:tc>
        <w:tc>
          <w:tcPr>
            <w:tcW w:w="1164" w:type="dxa"/>
            <w:vAlign w:val="center"/>
          </w:tcPr>
          <w:p w14:paraId="275939FA">
            <w:pPr>
              <w:spacing w:line="500" w:lineRule="exact"/>
              <w:jc w:val="center"/>
              <w:outlineLvl w:val="9"/>
              <w:rPr>
                <w:rFonts w:eastAsia="仿宋"/>
                <w:color w:val="auto"/>
                <w:highlight w:val="none"/>
              </w:rPr>
            </w:pPr>
            <w:r>
              <w:rPr>
                <w:rFonts w:eastAsia="仿宋"/>
                <w:color w:val="auto"/>
                <w:highlight w:val="none"/>
              </w:rPr>
              <w:t>Z&lt;2000</w:t>
            </w:r>
          </w:p>
        </w:tc>
      </w:tr>
      <w:tr w14:paraId="10104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restart"/>
            <w:vAlign w:val="center"/>
          </w:tcPr>
          <w:p w14:paraId="72652822">
            <w:pPr>
              <w:spacing w:line="500" w:lineRule="exact"/>
              <w:jc w:val="center"/>
              <w:outlineLvl w:val="9"/>
              <w:rPr>
                <w:rFonts w:ascii="仿宋" w:hAnsi="仿宋" w:eastAsia="仿宋"/>
                <w:color w:val="auto"/>
                <w:highlight w:val="none"/>
              </w:rPr>
            </w:pPr>
            <w:r>
              <w:rPr>
                <w:rFonts w:hint="eastAsia" w:ascii="仿宋" w:hAnsi="仿宋" w:eastAsia="仿宋"/>
                <w:color w:val="auto"/>
                <w:highlight w:val="none"/>
              </w:rPr>
              <w:t>物业管理</w:t>
            </w:r>
          </w:p>
        </w:tc>
        <w:tc>
          <w:tcPr>
            <w:tcW w:w="1625" w:type="dxa"/>
            <w:vAlign w:val="center"/>
          </w:tcPr>
          <w:p w14:paraId="67E9A83C">
            <w:pPr>
              <w:spacing w:line="500" w:lineRule="exact"/>
              <w:jc w:val="center"/>
              <w:outlineLvl w:val="9"/>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767" w:type="dxa"/>
            <w:vAlign w:val="center"/>
          </w:tcPr>
          <w:p w14:paraId="44D7CEAF">
            <w:pPr>
              <w:spacing w:line="500" w:lineRule="exact"/>
              <w:jc w:val="center"/>
              <w:outlineLvl w:val="9"/>
              <w:rPr>
                <w:rFonts w:ascii="仿宋" w:hAnsi="仿宋" w:eastAsia="仿宋"/>
                <w:color w:val="auto"/>
                <w:highlight w:val="none"/>
              </w:rPr>
            </w:pPr>
            <w:r>
              <w:rPr>
                <w:rFonts w:ascii="仿宋" w:hAnsi="仿宋" w:eastAsia="仿宋"/>
                <w:color w:val="auto"/>
                <w:highlight w:val="none"/>
              </w:rPr>
              <w:t>人</w:t>
            </w:r>
          </w:p>
        </w:tc>
        <w:tc>
          <w:tcPr>
            <w:tcW w:w="2055" w:type="dxa"/>
            <w:vAlign w:val="center"/>
          </w:tcPr>
          <w:p w14:paraId="50856EA6">
            <w:pPr>
              <w:spacing w:line="500" w:lineRule="exact"/>
              <w:jc w:val="center"/>
              <w:outlineLvl w:val="9"/>
              <w:rPr>
                <w:rFonts w:eastAsia="仿宋"/>
                <w:color w:val="auto"/>
                <w:highlight w:val="none"/>
              </w:rPr>
            </w:pPr>
            <w:r>
              <w:rPr>
                <w:rFonts w:eastAsia="仿宋"/>
                <w:color w:val="auto"/>
                <w:highlight w:val="none"/>
              </w:rPr>
              <w:t>300≤X&lt;1000</w:t>
            </w:r>
          </w:p>
        </w:tc>
        <w:tc>
          <w:tcPr>
            <w:tcW w:w="1765" w:type="dxa"/>
            <w:vAlign w:val="center"/>
          </w:tcPr>
          <w:p w14:paraId="6163E882">
            <w:pPr>
              <w:spacing w:line="500" w:lineRule="exact"/>
              <w:jc w:val="center"/>
              <w:outlineLvl w:val="9"/>
              <w:rPr>
                <w:rFonts w:eastAsia="仿宋"/>
                <w:color w:val="auto"/>
                <w:highlight w:val="none"/>
              </w:rPr>
            </w:pPr>
            <w:r>
              <w:rPr>
                <w:rFonts w:eastAsia="仿宋"/>
                <w:color w:val="auto"/>
                <w:highlight w:val="none"/>
              </w:rPr>
              <w:t>100≤X&lt;300</w:t>
            </w:r>
          </w:p>
        </w:tc>
        <w:tc>
          <w:tcPr>
            <w:tcW w:w="1164" w:type="dxa"/>
            <w:vAlign w:val="center"/>
          </w:tcPr>
          <w:p w14:paraId="79A85453">
            <w:pPr>
              <w:spacing w:line="500" w:lineRule="exact"/>
              <w:jc w:val="center"/>
              <w:outlineLvl w:val="9"/>
              <w:rPr>
                <w:rFonts w:eastAsia="仿宋"/>
                <w:color w:val="auto"/>
                <w:highlight w:val="none"/>
              </w:rPr>
            </w:pPr>
            <w:r>
              <w:rPr>
                <w:rFonts w:eastAsia="仿宋"/>
                <w:color w:val="auto"/>
                <w:highlight w:val="none"/>
              </w:rPr>
              <w:t>X&lt;100</w:t>
            </w:r>
          </w:p>
        </w:tc>
      </w:tr>
      <w:tr w14:paraId="018FE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continue"/>
            <w:vAlign w:val="center"/>
          </w:tcPr>
          <w:p w14:paraId="00EF1CD9">
            <w:pPr>
              <w:spacing w:line="500" w:lineRule="exact"/>
              <w:jc w:val="center"/>
              <w:outlineLvl w:val="9"/>
              <w:rPr>
                <w:rFonts w:ascii="仿宋" w:hAnsi="仿宋" w:eastAsia="仿宋"/>
                <w:color w:val="auto"/>
                <w:highlight w:val="none"/>
              </w:rPr>
            </w:pPr>
          </w:p>
        </w:tc>
        <w:tc>
          <w:tcPr>
            <w:tcW w:w="1625" w:type="dxa"/>
            <w:vAlign w:val="center"/>
          </w:tcPr>
          <w:p w14:paraId="1710D39D">
            <w:pPr>
              <w:spacing w:line="500" w:lineRule="exact"/>
              <w:jc w:val="center"/>
              <w:outlineLvl w:val="9"/>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767" w:type="dxa"/>
            <w:vAlign w:val="center"/>
          </w:tcPr>
          <w:p w14:paraId="2B79A025">
            <w:pPr>
              <w:spacing w:line="500" w:lineRule="exact"/>
              <w:jc w:val="center"/>
              <w:outlineLvl w:val="9"/>
              <w:rPr>
                <w:rFonts w:ascii="仿宋" w:hAnsi="仿宋" w:eastAsia="仿宋"/>
                <w:color w:val="auto"/>
                <w:highlight w:val="none"/>
              </w:rPr>
            </w:pPr>
            <w:r>
              <w:rPr>
                <w:rFonts w:ascii="仿宋" w:hAnsi="仿宋" w:eastAsia="仿宋"/>
                <w:color w:val="auto"/>
                <w:highlight w:val="none"/>
              </w:rPr>
              <w:t>万元</w:t>
            </w:r>
          </w:p>
        </w:tc>
        <w:tc>
          <w:tcPr>
            <w:tcW w:w="2055" w:type="dxa"/>
            <w:vAlign w:val="center"/>
          </w:tcPr>
          <w:p w14:paraId="7B215057">
            <w:pPr>
              <w:spacing w:line="500" w:lineRule="exact"/>
              <w:jc w:val="center"/>
              <w:outlineLvl w:val="9"/>
              <w:rPr>
                <w:rFonts w:eastAsia="仿宋"/>
                <w:color w:val="auto"/>
                <w:highlight w:val="none"/>
              </w:rPr>
            </w:pPr>
            <w:r>
              <w:rPr>
                <w:rFonts w:eastAsia="仿宋"/>
                <w:color w:val="auto"/>
                <w:highlight w:val="none"/>
              </w:rPr>
              <w:t>1000≤Y&lt;5000</w:t>
            </w:r>
          </w:p>
        </w:tc>
        <w:tc>
          <w:tcPr>
            <w:tcW w:w="1765" w:type="dxa"/>
            <w:vAlign w:val="center"/>
          </w:tcPr>
          <w:p w14:paraId="5A24BBB6">
            <w:pPr>
              <w:spacing w:line="500" w:lineRule="exact"/>
              <w:jc w:val="center"/>
              <w:outlineLvl w:val="9"/>
              <w:rPr>
                <w:rFonts w:eastAsia="仿宋"/>
                <w:color w:val="auto"/>
                <w:highlight w:val="none"/>
              </w:rPr>
            </w:pPr>
            <w:r>
              <w:rPr>
                <w:rFonts w:eastAsia="仿宋"/>
                <w:color w:val="auto"/>
                <w:highlight w:val="none"/>
              </w:rPr>
              <w:t>500≤Y&lt;1000</w:t>
            </w:r>
          </w:p>
        </w:tc>
        <w:tc>
          <w:tcPr>
            <w:tcW w:w="1164" w:type="dxa"/>
            <w:vAlign w:val="center"/>
          </w:tcPr>
          <w:p w14:paraId="0B3BA271">
            <w:pPr>
              <w:spacing w:line="500" w:lineRule="exact"/>
              <w:jc w:val="center"/>
              <w:outlineLvl w:val="9"/>
              <w:rPr>
                <w:rFonts w:eastAsia="仿宋"/>
                <w:color w:val="auto"/>
                <w:highlight w:val="none"/>
              </w:rPr>
            </w:pPr>
            <w:r>
              <w:rPr>
                <w:rFonts w:eastAsia="仿宋"/>
                <w:color w:val="auto"/>
                <w:highlight w:val="none"/>
              </w:rPr>
              <w:t>Y&lt;500</w:t>
            </w:r>
          </w:p>
        </w:tc>
      </w:tr>
      <w:tr w14:paraId="2D88A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restart"/>
            <w:vAlign w:val="center"/>
          </w:tcPr>
          <w:p w14:paraId="69A46705">
            <w:pPr>
              <w:spacing w:line="500" w:lineRule="exact"/>
              <w:jc w:val="center"/>
              <w:outlineLvl w:val="9"/>
              <w:rPr>
                <w:rFonts w:ascii="仿宋" w:hAnsi="仿宋" w:eastAsia="仿宋"/>
                <w:color w:val="auto"/>
                <w:highlight w:val="none"/>
              </w:rPr>
            </w:pPr>
            <w:r>
              <w:rPr>
                <w:rFonts w:hint="eastAsia" w:ascii="仿宋" w:hAnsi="仿宋" w:eastAsia="仿宋"/>
                <w:color w:val="auto"/>
                <w:highlight w:val="none"/>
              </w:rPr>
              <w:t>租赁</w:t>
            </w:r>
            <w:r>
              <w:rPr>
                <w:rFonts w:ascii="仿宋" w:hAnsi="仿宋" w:eastAsia="仿宋"/>
                <w:color w:val="auto"/>
                <w:highlight w:val="none"/>
              </w:rPr>
              <w:t>和商务服务业</w:t>
            </w:r>
          </w:p>
        </w:tc>
        <w:tc>
          <w:tcPr>
            <w:tcW w:w="1625" w:type="dxa"/>
            <w:vAlign w:val="center"/>
          </w:tcPr>
          <w:p w14:paraId="1D2644E4">
            <w:pPr>
              <w:spacing w:line="500" w:lineRule="exact"/>
              <w:jc w:val="center"/>
              <w:outlineLvl w:val="9"/>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767" w:type="dxa"/>
            <w:vAlign w:val="center"/>
          </w:tcPr>
          <w:p w14:paraId="30A99D32">
            <w:pPr>
              <w:spacing w:line="500" w:lineRule="exact"/>
              <w:jc w:val="center"/>
              <w:outlineLvl w:val="9"/>
              <w:rPr>
                <w:rFonts w:ascii="仿宋" w:hAnsi="仿宋" w:eastAsia="仿宋"/>
                <w:color w:val="auto"/>
                <w:highlight w:val="none"/>
              </w:rPr>
            </w:pPr>
            <w:r>
              <w:rPr>
                <w:rFonts w:ascii="仿宋" w:hAnsi="仿宋" w:eastAsia="仿宋"/>
                <w:color w:val="auto"/>
                <w:highlight w:val="none"/>
              </w:rPr>
              <w:t>人</w:t>
            </w:r>
          </w:p>
        </w:tc>
        <w:tc>
          <w:tcPr>
            <w:tcW w:w="2055" w:type="dxa"/>
            <w:vAlign w:val="center"/>
          </w:tcPr>
          <w:p w14:paraId="1CA46F8E">
            <w:pPr>
              <w:spacing w:line="500" w:lineRule="exact"/>
              <w:jc w:val="center"/>
              <w:outlineLvl w:val="9"/>
              <w:rPr>
                <w:rFonts w:eastAsia="仿宋"/>
                <w:color w:val="auto"/>
                <w:highlight w:val="none"/>
              </w:rPr>
            </w:pPr>
            <w:r>
              <w:rPr>
                <w:rFonts w:eastAsia="仿宋"/>
                <w:color w:val="auto"/>
                <w:highlight w:val="none"/>
              </w:rPr>
              <w:t>100≤X&lt;300</w:t>
            </w:r>
          </w:p>
        </w:tc>
        <w:tc>
          <w:tcPr>
            <w:tcW w:w="1765" w:type="dxa"/>
            <w:vAlign w:val="center"/>
          </w:tcPr>
          <w:p w14:paraId="01F56743">
            <w:pPr>
              <w:spacing w:line="500" w:lineRule="exact"/>
              <w:jc w:val="center"/>
              <w:outlineLvl w:val="9"/>
              <w:rPr>
                <w:rFonts w:eastAsia="仿宋"/>
                <w:color w:val="auto"/>
                <w:highlight w:val="none"/>
              </w:rPr>
            </w:pPr>
            <w:r>
              <w:rPr>
                <w:rFonts w:eastAsia="仿宋"/>
                <w:color w:val="auto"/>
                <w:highlight w:val="none"/>
              </w:rPr>
              <w:t>10≤X&lt;100</w:t>
            </w:r>
          </w:p>
        </w:tc>
        <w:tc>
          <w:tcPr>
            <w:tcW w:w="1164" w:type="dxa"/>
            <w:vAlign w:val="center"/>
          </w:tcPr>
          <w:p w14:paraId="0BFA465B">
            <w:pPr>
              <w:spacing w:line="500" w:lineRule="exact"/>
              <w:jc w:val="center"/>
              <w:outlineLvl w:val="9"/>
              <w:rPr>
                <w:rFonts w:eastAsia="仿宋"/>
                <w:color w:val="auto"/>
                <w:highlight w:val="none"/>
              </w:rPr>
            </w:pPr>
            <w:r>
              <w:rPr>
                <w:rFonts w:eastAsia="仿宋"/>
                <w:color w:val="auto"/>
                <w:highlight w:val="none"/>
              </w:rPr>
              <w:t>X&lt;10</w:t>
            </w:r>
          </w:p>
        </w:tc>
      </w:tr>
      <w:tr w14:paraId="1F01F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Merge w:val="continue"/>
            <w:vAlign w:val="center"/>
          </w:tcPr>
          <w:p w14:paraId="59AFEB9C">
            <w:pPr>
              <w:spacing w:line="500" w:lineRule="exact"/>
              <w:jc w:val="center"/>
              <w:outlineLvl w:val="9"/>
              <w:rPr>
                <w:rFonts w:ascii="仿宋" w:hAnsi="仿宋" w:eastAsia="仿宋"/>
                <w:color w:val="auto"/>
                <w:highlight w:val="none"/>
              </w:rPr>
            </w:pPr>
          </w:p>
        </w:tc>
        <w:tc>
          <w:tcPr>
            <w:tcW w:w="1625" w:type="dxa"/>
            <w:vAlign w:val="center"/>
          </w:tcPr>
          <w:p w14:paraId="60D134D9">
            <w:pPr>
              <w:spacing w:line="500" w:lineRule="exact"/>
              <w:jc w:val="center"/>
              <w:outlineLvl w:val="9"/>
              <w:rPr>
                <w:rFonts w:ascii="仿宋" w:hAnsi="仿宋" w:eastAsia="仿宋"/>
                <w:color w:val="auto"/>
                <w:highlight w:val="none"/>
              </w:rPr>
            </w:pPr>
            <w:r>
              <w:rPr>
                <w:rFonts w:hint="eastAsia" w:ascii="仿宋" w:hAnsi="仿宋" w:eastAsia="仿宋"/>
                <w:color w:val="auto"/>
                <w:highlight w:val="none"/>
              </w:rPr>
              <w:t>资产</w:t>
            </w:r>
            <w:r>
              <w:rPr>
                <w:rFonts w:ascii="仿宋" w:hAnsi="仿宋" w:eastAsia="仿宋"/>
                <w:color w:val="auto"/>
                <w:highlight w:val="none"/>
              </w:rPr>
              <w:t>总额（</w:t>
            </w:r>
            <w:r>
              <w:rPr>
                <w:rFonts w:hint="eastAsia" w:ascii="仿宋" w:hAnsi="仿宋" w:eastAsia="仿宋"/>
                <w:color w:val="auto"/>
                <w:highlight w:val="none"/>
              </w:rPr>
              <w:t>Z）</w:t>
            </w:r>
          </w:p>
        </w:tc>
        <w:tc>
          <w:tcPr>
            <w:tcW w:w="767" w:type="dxa"/>
            <w:vAlign w:val="center"/>
          </w:tcPr>
          <w:p w14:paraId="2392B101">
            <w:pPr>
              <w:spacing w:line="500" w:lineRule="exact"/>
              <w:jc w:val="center"/>
              <w:outlineLvl w:val="9"/>
              <w:rPr>
                <w:rFonts w:ascii="仿宋" w:hAnsi="仿宋" w:eastAsia="仿宋"/>
                <w:color w:val="auto"/>
                <w:highlight w:val="none"/>
              </w:rPr>
            </w:pPr>
            <w:r>
              <w:rPr>
                <w:rFonts w:ascii="仿宋" w:hAnsi="仿宋" w:eastAsia="仿宋"/>
                <w:color w:val="auto"/>
                <w:highlight w:val="none"/>
              </w:rPr>
              <w:t>万元</w:t>
            </w:r>
          </w:p>
        </w:tc>
        <w:tc>
          <w:tcPr>
            <w:tcW w:w="2055" w:type="dxa"/>
            <w:vAlign w:val="center"/>
          </w:tcPr>
          <w:p w14:paraId="08590DF6">
            <w:pPr>
              <w:spacing w:line="500" w:lineRule="exact"/>
              <w:jc w:val="center"/>
              <w:outlineLvl w:val="9"/>
              <w:rPr>
                <w:rFonts w:eastAsia="仿宋"/>
                <w:color w:val="auto"/>
                <w:highlight w:val="none"/>
              </w:rPr>
            </w:pPr>
            <w:r>
              <w:rPr>
                <w:rFonts w:eastAsia="仿宋"/>
                <w:color w:val="auto"/>
                <w:highlight w:val="none"/>
              </w:rPr>
              <w:t>8000≤Z &lt;120000</w:t>
            </w:r>
          </w:p>
        </w:tc>
        <w:tc>
          <w:tcPr>
            <w:tcW w:w="1765" w:type="dxa"/>
            <w:vAlign w:val="center"/>
          </w:tcPr>
          <w:p w14:paraId="13181321">
            <w:pPr>
              <w:spacing w:line="500" w:lineRule="exact"/>
              <w:jc w:val="center"/>
              <w:outlineLvl w:val="9"/>
              <w:rPr>
                <w:rFonts w:eastAsia="仿宋"/>
                <w:color w:val="auto"/>
                <w:highlight w:val="none"/>
              </w:rPr>
            </w:pPr>
            <w:r>
              <w:rPr>
                <w:rFonts w:eastAsia="仿宋"/>
                <w:color w:val="auto"/>
                <w:highlight w:val="none"/>
              </w:rPr>
              <w:t>100≤Z &lt;8000</w:t>
            </w:r>
          </w:p>
        </w:tc>
        <w:tc>
          <w:tcPr>
            <w:tcW w:w="1164" w:type="dxa"/>
            <w:vAlign w:val="center"/>
          </w:tcPr>
          <w:p w14:paraId="2C7CB644">
            <w:pPr>
              <w:spacing w:line="500" w:lineRule="exact"/>
              <w:jc w:val="center"/>
              <w:outlineLvl w:val="9"/>
              <w:rPr>
                <w:rFonts w:eastAsia="仿宋"/>
                <w:color w:val="auto"/>
                <w:highlight w:val="none"/>
              </w:rPr>
            </w:pPr>
            <w:r>
              <w:rPr>
                <w:rFonts w:eastAsia="仿宋"/>
                <w:color w:val="auto"/>
                <w:highlight w:val="none"/>
              </w:rPr>
              <w:t>Z&lt;100</w:t>
            </w:r>
          </w:p>
        </w:tc>
      </w:tr>
      <w:tr w14:paraId="637CB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194" w:type="dxa"/>
            <w:vAlign w:val="center"/>
          </w:tcPr>
          <w:p w14:paraId="5DAC3030">
            <w:pPr>
              <w:spacing w:line="500" w:lineRule="exact"/>
              <w:jc w:val="center"/>
              <w:outlineLvl w:val="9"/>
              <w:rPr>
                <w:rFonts w:ascii="仿宋" w:hAnsi="仿宋" w:eastAsia="仿宋"/>
                <w:color w:val="auto"/>
                <w:highlight w:val="none"/>
              </w:rPr>
            </w:pPr>
            <w:r>
              <w:rPr>
                <w:rFonts w:hint="eastAsia" w:ascii="仿宋" w:hAnsi="仿宋" w:eastAsia="仿宋"/>
                <w:color w:val="auto"/>
                <w:highlight w:val="none"/>
              </w:rPr>
              <w:t>其</w:t>
            </w:r>
            <w:r>
              <w:rPr>
                <w:rFonts w:ascii="仿宋" w:hAnsi="仿宋" w:eastAsia="仿宋"/>
                <w:color w:val="auto"/>
                <w:highlight w:val="none"/>
              </w:rPr>
              <w:t>他未列明行业</w:t>
            </w:r>
          </w:p>
        </w:tc>
        <w:tc>
          <w:tcPr>
            <w:tcW w:w="1625" w:type="dxa"/>
            <w:vAlign w:val="center"/>
          </w:tcPr>
          <w:p w14:paraId="4570A342">
            <w:pPr>
              <w:spacing w:line="500" w:lineRule="exact"/>
              <w:jc w:val="center"/>
              <w:outlineLvl w:val="9"/>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767" w:type="dxa"/>
            <w:vAlign w:val="center"/>
          </w:tcPr>
          <w:p w14:paraId="61D13F53">
            <w:pPr>
              <w:spacing w:line="500" w:lineRule="exact"/>
              <w:jc w:val="center"/>
              <w:outlineLvl w:val="9"/>
              <w:rPr>
                <w:rFonts w:ascii="仿宋" w:hAnsi="仿宋" w:eastAsia="仿宋"/>
                <w:color w:val="auto"/>
                <w:highlight w:val="none"/>
              </w:rPr>
            </w:pPr>
            <w:r>
              <w:rPr>
                <w:rFonts w:ascii="仿宋" w:hAnsi="仿宋" w:eastAsia="仿宋"/>
                <w:color w:val="auto"/>
                <w:highlight w:val="none"/>
              </w:rPr>
              <w:t>人</w:t>
            </w:r>
          </w:p>
        </w:tc>
        <w:tc>
          <w:tcPr>
            <w:tcW w:w="2055" w:type="dxa"/>
            <w:vAlign w:val="center"/>
          </w:tcPr>
          <w:p w14:paraId="3669E12B">
            <w:pPr>
              <w:spacing w:line="500" w:lineRule="exact"/>
              <w:jc w:val="center"/>
              <w:outlineLvl w:val="9"/>
              <w:rPr>
                <w:rFonts w:eastAsia="仿宋"/>
                <w:color w:val="auto"/>
                <w:highlight w:val="none"/>
              </w:rPr>
            </w:pPr>
            <w:r>
              <w:rPr>
                <w:rFonts w:eastAsia="仿宋"/>
                <w:color w:val="auto"/>
                <w:highlight w:val="none"/>
              </w:rPr>
              <w:t>100≤X&lt;300</w:t>
            </w:r>
          </w:p>
        </w:tc>
        <w:tc>
          <w:tcPr>
            <w:tcW w:w="1765" w:type="dxa"/>
            <w:vAlign w:val="center"/>
          </w:tcPr>
          <w:p w14:paraId="54F1231B">
            <w:pPr>
              <w:spacing w:line="500" w:lineRule="exact"/>
              <w:jc w:val="center"/>
              <w:outlineLvl w:val="9"/>
              <w:rPr>
                <w:rFonts w:eastAsia="仿宋"/>
                <w:color w:val="auto"/>
                <w:highlight w:val="none"/>
              </w:rPr>
            </w:pPr>
            <w:r>
              <w:rPr>
                <w:rFonts w:eastAsia="仿宋"/>
                <w:color w:val="auto"/>
                <w:highlight w:val="none"/>
              </w:rPr>
              <w:t>10≤X&lt;100</w:t>
            </w:r>
          </w:p>
        </w:tc>
        <w:tc>
          <w:tcPr>
            <w:tcW w:w="1164" w:type="dxa"/>
            <w:vAlign w:val="center"/>
          </w:tcPr>
          <w:p w14:paraId="7F81AF6D">
            <w:pPr>
              <w:spacing w:line="500" w:lineRule="exact"/>
              <w:jc w:val="center"/>
              <w:outlineLvl w:val="9"/>
              <w:rPr>
                <w:rFonts w:eastAsia="仿宋"/>
                <w:color w:val="auto"/>
                <w:highlight w:val="none"/>
              </w:rPr>
            </w:pPr>
            <w:r>
              <w:rPr>
                <w:rFonts w:eastAsia="仿宋"/>
                <w:color w:val="auto"/>
                <w:highlight w:val="none"/>
              </w:rPr>
              <w:t>X&lt;10</w:t>
            </w:r>
          </w:p>
        </w:tc>
      </w:tr>
    </w:tbl>
    <w:p w14:paraId="01853100">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outlineLvl w:val="9"/>
        <w:rPr>
          <w:rFonts w:ascii="仿宋" w:hAnsi="仿宋" w:eastAsia="仿宋"/>
          <w:color w:val="auto"/>
          <w:sz w:val="28"/>
          <w:szCs w:val="28"/>
          <w:highlight w:val="none"/>
        </w:rPr>
      </w:pPr>
      <w:r>
        <w:rPr>
          <w:rFonts w:hint="eastAsia" w:ascii="仿宋" w:hAnsi="仿宋" w:eastAsia="仿宋"/>
          <w:color w:val="auto"/>
          <w:highlight w:val="none"/>
        </w:rPr>
        <w:t>说明：大型、中型和小型企业须同时满足所列指标的下限，否则下划一档；微型企业只须满足所列指标中的一项即可。</w:t>
      </w:r>
    </w:p>
    <w:p w14:paraId="7670865D">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7.2 残疾人福利单位价格扣除</w:t>
      </w:r>
    </w:p>
    <w:p w14:paraId="237EAD60">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7.2.1</w:t>
      </w:r>
      <w:r>
        <w:rPr>
          <w:rFonts w:ascii="仿宋" w:hAnsi="仿宋" w:eastAsia="仿宋"/>
          <w:color w:val="auto"/>
          <w:sz w:val="28"/>
          <w:szCs w:val="28"/>
          <w:highlight w:val="none"/>
        </w:rPr>
        <w:t>享受政府采购支持政策的残疾人福利性单位应当同时满足以下条件：</w:t>
      </w:r>
    </w:p>
    <w:p w14:paraId="6C3201A7">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14:paraId="426712A5">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依法与安置的每位残疾人签订了一年以上（含一年）的劳动合同或服务协议；</w:t>
      </w:r>
    </w:p>
    <w:p w14:paraId="5404C254">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为安置的每位残疾人按月足额缴纳了基本养老保险、基本医疗保险、失业保险、工伤保险和生育保险等社会保险费；</w:t>
      </w:r>
    </w:p>
    <w:p w14:paraId="1A087088">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通过银行等金融机构向安置的每位残疾人，按月支付了不低于单位所在区县适用的经省级人民政府批准的月最低工资标准的工资；</w:t>
      </w:r>
    </w:p>
    <w:p w14:paraId="59F01151">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提供本单位制造的货物、承担的工程或者服务（以下简称产品），或者提供其他残疾人福利性单位制造的货物（不包括使用非残疾人福利性单位注册商标的货物）。</w:t>
      </w:r>
    </w:p>
    <w:p w14:paraId="6E3A085F">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6FEB20EE">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7.2.3 残疾人福利单位需按照采购文件的要求提供《残疾人福利性单位声明函》，否则不予享受。</w:t>
      </w:r>
    </w:p>
    <w:p w14:paraId="73CA204D">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7.2.4 残疾人福利单位属于小型、微型企业的，不重复享受政策。</w:t>
      </w:r>
    </w:p>
    <w:p w14:paraId="6E2A65D8">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7.3 监狱和戒毒企业价格扣除</w:t>
      </w:r>
    </w:p>
    <w:p w14:paraId="577ACFD9">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3388BD2">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7.3.2 监狱企业参加政府采购活动时，应当提供由省级以上监狱管理局、戒毒管理局(含新疆生产建设兵团)出具的属于监狱企业的证明文件。</w:t>
      </w:r>
    </w:p>
    <w:p w14:paraId="5071F621">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7.3.3 在政府采购活动中，监狱企业视同小型、微型企业，享受预留份额、评审中价格扣除等政府采购促进中小企业发展的政府采购政策。</w:t>
      </w:r>
    </w:p>
    <w:p w14:paraId="7BFA1B11">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7.3.4 监狱企业属于小型、微型企业的，不重复享受政策。</w:t>
      </w:r>
    </w:p>
    <w:p w14:paraId="054178A8">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7.4 根据《财政部、发展改革委关于印发节能产品政府采购品目清单的通知》（</w:t>
      </w:r>
      <w:r>
        <w:rPr>
          <w:rFonts w:hint="eastAsia" w:ascii="仿宋" w:hAnsi="仿宋" w:eastAsia="仿宋" w:cs="宋体"/>
          <w:color w:val="auto"/>
          <w:kern w:val="0"/>
          <w:sz w:val="28"/>
          <w:szCs w:val="28"/>
          <w:highlight w:val="none"/>
        </w:rPr>
        <w:t>财库〔2019〕19号</w:t>
      </w:r>
      <w:r>
        <w:rPr>
          <w:rFonts w:hint="eastAsia" w:ascii="仿宋" w:hAnsi="仿宋" w:eastAsia="仿宋"/>
          <w:color w:val="auto"/>
          <w:sz w:val="28"/>
          <w:szCs w:val="28"/>
          <w:highlight w:val="none"/>
        </w:rPr>
        <w:t>）要求，下列产品实行强制采购或者优先采购：</w:t>
      </w:r>
    </w:p>
    <w:p w14:paraId="4AE3B175">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p>
    <w:p w14:paraId="7F2682DC">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p>
    <w:p w14:paraId="21EA5F43">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7.5 根据《财政部、生态环境部关于印发环境标志产品政府采购品目清单的通知》（财库〔2019〕18号）要求，对于</w:t>
      </w:r>
      <w:r>
        <w:rPr>
          <w:color w:val="auto"/>
          <w:sz w:val="28"/>
          <w:szCs w:val="28"/>
          <w:highlight w:val="none"/>
        </w:rPr>
        <w:fldChar w:fldCharType="begin"/>
      </w:r>
      <w:r>
        <w:rPr>
          <w:color w:val="auto"/>
          <w:sz w:val="28"/>
          <w:szCs w:val="28"/>
          <w:highlight w:val="none"/>
        </w:rPr>
        <w:instrText xml:space="preserve"> HYPERLINK "http://gks.mof.gov.cn/zhengfucaigouguanli/201903/P020190329702478575295.pdf" </w:instrText>
      </w:r>
      <w:r>
        <w:rPr>
          <w:color w:val="auto"/>
          <w:sz w:val="28"/>
          <w:szCs w:val="28"/>
          <w:highlight w:val="none"/>
        </w:rPr>
        <w:fldChar w:fldCharType="separate"/>
      </w:r>
      <w:r>
        <w:rPr>
          <w:rFonts w:hint="eastAsia" w:ascii="仿宋" w:hAnsi="仿宋" w:eastAsia="仿宋"/>
          <w:color w:val="auto"/>
          <w:sz w:val="28"/>
          <w:szCs w:val="28"/>
          <w:highlight w:val="none"/>
        </w:rPr>
        <w:t>环境标志产品政府采购品目清单</w:t>
      </w:r>
      <w:r>
        <w:rPr>
          <w:rFonts w:hint="eastAsia" w:ascii="仿宋" w:hAnsi="仿宋" w:eastAsia="仿宋"/>
          <w:color w:val="auto"/>
          <w:sz w:val="28"/>
          <w:szCs w:val="28"/>
          <w:highlight w:val="none"/>
        </w:rPr>
        <w:fldChar w:fldCharType="end"/>
      </w:r>
      <w:r>
        <w:rPr>
          <w:rFonts w:ascii="仿宋" w:hAnsi="仿宋" w:eastAsia="仿宋"/>
          <w:color w:val="auto"/>
          <w:sz w:val="28"/>
          <w:szCs w:val="28"/>
          <w:highlight w:val="none"/>
        </w:rPr>
        <w:t>内的</w:t>
      </w:r>
      <w:r>
        <w:rPr>
          <w:rFonts w:hint="eastAsia" w:ascii="仿宋" w:hAnsi="仿宋" w:eastAsia="仿宋"/>
          <w:color w:val="auto"/>
          <w:sz w:val="28"/>
          <w:szCs w:val="28"/>
          <w:highlight w:val="none"/>
        </w:rPr>
        <w:t>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p>
    <w:p w14:paraId="4EE07E3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7.6根据《国务院办公厅关于在政府采购中实施本国产品标准及相关政策的通知》（国办发〔2025〕34号）要求，落实对本国产品支持政策。</w:t>
      </w:r>
    </w:p>
    <w:p w14:paraId="26004448">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7.6.1 政府采购活动中既有本国产品又有非本国产品参与竞争的，依法对本国产品给予价格评审优惠，对本国产品的报价给予20%的价格扣除，用扣除后的价格参与评审。</w:t>
      </w:r>
    </w:p>
    <w:p w14:paraId="3B2902F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F7EDCE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p>
    <w:p w14:paraId="4FD2B2B5">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color w:val="auto"/>
          <w:sz w:val="28"/>
          <w:szCs w:val="28"/>
          <w:highlight w:val="none"/>
        </w:rPr>
      </w:pPr>
      <w:r>
        <w:rPr>
          <w:rFonts w:hint="eastAsia" w:ascii="仿宋" w:hAnsi="仿宋" w:eastAsia="仿宋"/>
          <w:color w:val="auto"/>
          <w:sz w:val="28"/>
          <w:szCs w:val="28"/>
          <w:highlight w:val="none"/>
        </w:rPr>
        <w:t>7.6.4供应商对其提供的产品出具《关于符合本国产品标准的声明函》或财政部会同有关部门规定的有关证明文件。</w:t>
      </w:r>
    </w:p>
    <w:p w14:paraId="79F91BF7">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color w:val="auto"/>
          <w:sz w:val="28"/>
          <w:szCs w:val="28"/>
          <w:highlight w:val="none"/>
        </w:rPr>
      </w:pPr>
      <w:r>
        <w:rPr>
          <w:rFonts w:hint="eastAsia" w:ascii="仿宋" w:hAnsi="仿宋" w:eastAsia="仿宋"/>
          <w:color w:val="auto"/>
          <w:sz w:val="28"/>
          <w:szCs w:val="28"/>
          <w:highlight w:val="none"/>
        </w:rPr>
        <w:t>7.</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 xml:space="preserve"> 根据《江苏省政府采购供应商监督管理暂行办法》的规定，诚信记录分每减10分，给予本项目总分值2%的扣分，扣分最多不超过本项目总分值6%。</w:t>
      </w:r>
    </w:p>
    <w:p w14:paraId="7AC41F24">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default"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7.8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响应时须提供相应使用低VOCs 含量的有效证明材料，否则不得分）。</w:t>
      </w:r>
    </w:p>
    <w:p w14:paraId="67A1EF71">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7.9 商品包装环保要求：应当按《关于印发〈商品包装政府采购需求标准（试行）〉、〈快递包装政府采购需求标准（试行）〉的通知》（财办库〔2020〕123号）文件执行。</w:t>
      </w:r>
    </w:p>
    <w:p w14:paraId="12FD0BC2">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（1）商品包装层数不得超过 3 层，空隙率不大于 40%；</w:t>
      </w:r>
    </w:p>
    <w:p w14:paraId="65CC4446">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（2）商品包装尽可能使用单一材质的包装材料，如因功能需求必需使用不同材质，不同材质间应便于分离；</w:t>
      </w:r>
    </w:p>
    <w:p w14:paraId="24F69894">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（3）商品包装中铅、汞、镉、六价铬的总含量应不大于100mg/kg；</w:t>
      </w:r>
    </w:p>
    <w:p w14:paraId="5685A444">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（4）商品包装印刷使用的油墨中挥发性有机化合物(VOCs)含量应不大于 5%（以重量计）；</w:t>
      </w:r>
    </w:p>
    <w:p w14:paraId="6FF6A712">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（5）塑料材质商品包装上呈现的印刷颜色不得超过 6 色；</w:t>
      </w:r>
    </w:p>
    <w:p w14:paraId="20A3980B">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（6）纸质商品包装应使用 75%以上的可再生纤维原料生产；</w:t>
      </w:r>
    </w:p>
    <w:p w14:paraId="47769C55">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（7）木质商品包装的原料应来源于可持续性森林。</w:t>
      </w:r>
    </w:p>
    <w:p w14:paraId="6DC91FDA">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（响应时供应商提供承诺函，承诺函需对以上要求逐一作出响应。采购人在必要时可要求中标供应商在履约验收环节出具检测报告。）</w:t>
      </w:r>
    </w:p>
    <w:p w14:paraId="77C44869">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2.快递包装环保要求：</w:t>
      </w:r>
    </w:p>
    <w:p w14:paraId="0121139F">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（1）快递包装中重金属（铅、汞、镉、六价铬）总量应不大于 100mg/kg；</w:t>
      </w:r>
    </w:p>
    <w:p w14:paraId="4E600A1F">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（2）快递包装印刷使用的油墨中不应添加邻苯二甲酸酯，其挥发性有机化合物(VOCs)含量应不大于5%（以重量计）；</w:t>
      </w:r>
    </w:p>
    <w:p w14:paraId="52DCACB1">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（3）快递包装中使用纸基材的包装材料，纸基材中的有机氯的含量应不大于 150 mg/kg；</w:t>
      </w:r>
    </w:p>
    <w:p w14:paraId="64BB031D">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（4）快递包装中使用塑料基材的包装材料不得使用邻苯二甲酸二异壬酯、邻苯二甲酸二正辛酯、邻苯二甲酸二(2-乙基)己酯、邻苯二甲酸二异癸酯、邻苯二甲酸丁基苄基酯、邻苯二甲酸二丁酯等作为增塑剂；</w:t>
      </w:r>
    </w:p>
    <w:p w14:paraId="7EDABF61">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（5）快递中使用的塑料包装袋不得使用聚氯乙烯作为原料，且原料应为单一材质制成，生物分解率大于60%；</w:t>
      </w:r>
    </w:p>
    <w:p w14:paraId="26D52174">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（6）快递中使用的充气类填充物不得使用聚氯乙烯作为原料，且原料为单一材质制成，生物分解率大于60%；</w:t>
      </w:r>
    </w:p>
    <w:p w14:paraId="539E00CF">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（7）快递中使用的集装袋应为单一材质制成，其重复使用次数应不小于 80 次；</w:t>
      </w:r>
    </w:p>
    <w:p w14:paraId="5EAED2B6">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（8）快递中应使用幅宽不大于45mm 的生物降解胶带；</w:t>
      </w:r>
    </w:p>
    <w:p w14:paraId="050DFFA9">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（9）快递包装中不得使用溶剂型胶粘剂；</w:t>
      </w:r>
    </w:p>
    <w:p w14:paraId="3BEAEEA6">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（11）快递应使用电子面单；</w:t>
      </w:r>
    </w:p>
    <w:p w14:paraId="0F95AD6E">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（12）直接使用商品包装作为快递包装的商品，其商品包装满足《商品包装政府采购需求标准（试行）》即可；</w:t>
      </w:r>
    </w:p>
    <w:p w14:paraId="09F4CB32">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（13）快递包装产品质量和封装方式应符合相关国家或行业标准技术指标要求。</w:t>
      </w:r>
    </w:p>
    <w:p w14:paraId="02FF4648">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（响应时供应商提供承诺函，承诺函需对以上要求逐一作出响应。采购人在必要时可要求中标供应商在履约验收环节出具检测报告。）</w:t>
      </w:r>
    </w:p>
    <w:p w14:paraId="1B6C6F24">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7.10 绿色数据中心（如有）</w:t>
      </w:r>
    </w:p>
    <w:p w14:paraId="37CD0A49">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（1）采购数据中心相关设备、运维服务，应当有利于节约能源、环境保护和资源循环利用。</w:t>
      </w:r>
    </w:p>
    <w:p w14:paraId="6DCFBE62">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p>
    <w:p w14:paraId="2032CD9B">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（3）成交供应商未按合同约定提供设备或服务的，采购人依法追究其违约责任。对供应商提供虚假材料谋取中标、成交的，依法由相关部门予以处理。</w:t>
      </w:r>
    </w:p>
    <w:p w14:paraId="4EED690F">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7.11 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最低评标法删除标注内容）在通用类货物、家具、印刷、公务车辆维修等采购项目中，供应商应优先使用低挥发性原辅材料，将使用低VOCs含量的涂料、胶黏剂等纳入合同条款。</w:t>
      </w:r>
    </w:p>
    <w:p w14:paraId="14A78DF7">
      <w:pPr>
        <w:pStyle w:val="26"/>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lang w:val="en-US" w:eastAsia="zh-CN"/>
        </w:rPr>
        <w:t>7.12 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464F12F1">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i w:val="0"/>
          <w:iCs w:val="0"/>
          <w:color w:val="auto"/>
          <w:sz w:val="28"/>
          <w:szCs w:val="28"/>
          <w:highlight w:val="none"/>
          <w:lang w:val="en-US" w:eastAsia="zh-CN"/>
        </w:rPr>
        <w:t>7.13 绿色低碳管理目标和服务要求：在物业、合同能源管理等服务类采购项目中，要强化绿色低碳管理目标和服务要求，促进绿色产品和服务推广应用。</w:t>
      </w:r>
    </w:p>
    <w:p w14:paraId="7567174B">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1"/>
        <w:rPr>
          <w:rFonts w:ascii="黑体" w:hAnsi="黑体" w:eastAsia="黑体"/>
          <w:bCs/>
          <w:color w:val="auto"/>
          <w:sz w:val="28"/>
          <w:szCs w:val="28"/>
          <w:highlight w:val="none"/>
        </w:rPr>
      </w:pPr>
      <w:bookmarkStart w:id="51" w:name="_Toc22228"/>
      <w:r>
        <w:rPr>
          <w:rFonts w:hint="eastAsia" w:ascii="黑体" w:hAnsi="黑体" w:eastAsia="黑体"/>
          <w:bCs/>
          <w:color w:val="auto"/>
          <w:sz w:val="28"/>
          <w:szCs w:val="28"/>
          <w:highlight w:val="none"/>
        </w:rPr>
        <w:t>8.无效响应和磋商活动终止</w:t>
      </w:r>
      <w:bookmarkEnd w:id="51"/>
    </w:p>
    <w:p w14:paraId="70B26723">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8.1 出现下列情形之一的，作无效响应处理。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p>
    <w:p w14:paraId="14173C8F">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8.1.1 不具备竞争性磋商文件中规定的资格要求的。</w:t>
      </w:r>
    </w:p>
    <w:p w14:paraId="5596E936">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8.1.2 最后报价超过了采购预算或最高限价的。</w:t>
      </w:r>
    </w:p>
    <w:p w14:paraId="1961F709">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8.1.3 未通过符合性审查的。</w:t>
      </w:r>
    </w:p>
    <w:p w14:paraId="33F22830">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8.1.4 不符合法律、法规和竞争性磋商文件中规定的其他实质性要求的。</w:t>
      </w:r>
    </w:p>
    <w:p w14:paraId="0AF8C08F">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39D2DB08">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8.1.6 响应文件含有采购人不能接受的附加条件的。</w:t>
      </w:r>
    </w:p>
    <w:p w14:paraId="75EA7BC2">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8.1.7 本项目采购产品被财政部、国家发改委、生态环境部等列入“节能产品品目清单”、“环境标志产品品目清单”强制采购范围，而供应商的响应产品不在强制采购范围内的。</w:t>
      </w:r>
    </w:p>
    <w:p w14:paraId="5B1C9D02">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8.1.8 响应文件未按照磋商文件要求加盖电子签章。</w:t>
      </w:r>
    </w:p>
    <w:p w14:paraId="3D72E850">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8.1.9 供应商在系统规定的时间内未成功解密电子响应文件的。</w:t>
      </w:r>
    </w:p>
    <w:p w14:paraId="3D6699D1">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8.1.10 未完整上传响应文件电子文档的,或上传的文件打不开的。</w:t>
      </w:r>
    </w:p>
    <w:p w14:paraId="0282CC4C">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8.1.11 不同的供应商响应文件制作机器码、文件创建标识码一致的。</w:t>
      </w:r>
    </w:p>
    <w:p w14:paraId="5CAA283E">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8.1.12其他法律、法规及本磋商文件规定的属无效响应的情形。</w:t>
      </w:r>
    </w:p>
    <w:p w14:paraId="3860F536">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8.2 出现下列情形之一的，本次竞争性磋商采购活动将被终止：</w:t>
      </w:r>
    </w:p>
    <w:p w14:paraId="46CDA5A3">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8.2.1 </w:t>
      </w:r>
      <w:r>
        <w:rPr>
          <w:rFonts w:ascii="仿宋" w:hAnsi="仿宋" w:eastAsia="仿宋"/>
          <w:color w:val="auto"/>
          <w:sz w:val="28"/>
          <w:szCs w:val="28"/>
          <w:highlight w:val="none"/>
        </w:rPr>
        <w:t>因情况变化，不再符合规定的竞争性</w:t>
      </w:r>
      <w:r>
        <w:rPr>
          <w:rFonts w:hint="eastAsia" w:ascii="仿宋" w:hAnsi="仿宋" w:eastAsia="仿宋"/>
          <w:color w:val="auto"/>
          <w:sz w:val="28"/>
          <w:szCs w:val="28"/>
          <w:highlight w:val="none"/>
        </w:rPr>
        <w:t>磋商</w:t>
      </w:r>
      <w:r>
        <w:rPr>
          <w:rFonts w:ascii="仿宋" w:hAnsi="仿宋" w:eastAsia="仿宋"/>
          <w:color w:val="auto"/>
          <w:sz w:val="28"/>
          <w:szCs w:val="28"/>
          <w:highlight w:val="none"/>
        </w:rPr>
        <w:t>采购方式适用情形的；</w:t>
      </w:r>
    </w:p>
    <w:p w14:paraId="23ADA233">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出现影响采购公正的违法、违规行为的；</w:t>
      </w:r>
    </w:p>
    <w:p w14:paraId="79C6F9DD">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8.2.3 除了市场竞争不充分的科研项目、需要扶持的科技成果转化项目和政府购买服务项目之外，在采购过程中符合要求的供应商或者报价未超过采购预算的供应商不足3家的。</w:t>
      </w:r>
    </w:p>
    <w:p w14:paraId="57A2A4CA">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8.2.3 对于市场竞争不充分的科研项目、需要扶持的科技成果转化项目或者政府购买服务项目，提交最后报价的供应商不足2家。</w:t>
      </w:r>
    </w:p>
    <w:p w14:paraId="1EA8EEDB">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8.2.</w:t>
      </w: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因重大变故，采购任务取消的。</w:t>
      </w:r>
    </w:p>
    <w:p w14:paraId="5835F13D">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1"/>
        <w:rPr>
          <w:rFonts w:ascii="黑体" w:hAnsi="黑体" w:eastAsia="黑体"/>
          <w:color w:val="auto"/>
          <w:sz w:val="28"/>
          <w:szCs w:val="28"/>
          <w:highlight w:val="none"/>
        </w:rPr>
      </w:pPr>
      <w:bookmarkStart w:id="52" w:name="_Toc23916"/>
      <w:r>
        <w:rPr>
          <w:rFonts w:hint="eastAsia" w:ascii="黑体" w:hAnsi="黑体" w:eastAsia="黑体"/>
          <w:color w:val="auto"/>
          <w:sz w:val="28"/>
          <w:szCs w:val="28"/>
          <w:highlight w:val="none"/>
        </w:rPr>
        <w:t>9. 询问、质疑和投诉</w:t>
      </w:r>
      <w:bookmarkEnd w:id="52"/>
    </w:p>
    <w:p w14:paraId="0679E6E3">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9.1 供应商对政府采购活动事项有疑问的，可以向采购人或者采购代理机构提出询问，采购人或者采购代理机构应当在3个工作日内作出答复。</w:t>
      </w:r>
    </w:p>
    <w:p w14:paraId="5BEB30B7">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9.2 供应商认为采购文件、采购过程、中标或者成交结果使自己的权益受到损害的，可以在知道或者应知其权益受到损害之日起7个工作日内，以书面形式向采购人、采购代理机构提出质疑。</w:t>
      </w:r>
    </w:p>
    <w:p w14:paraId="5D4CFDBD">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上述应知其权益受到损害之日，是指：</w:t>
      </w:r>
      <w:r>
        <w:rPr>
          <w:rFonts w:ascii="仿宋" w:hAnsi="仿宋" w:eastAsia="仿宋"/>
          <w:color w:val="auto"/>
          <w:sz w:val="28"/>
          <w:szCs w:val="28"/>
          <w:highlight w:val="none"/>
        </w:rPr>
        <w:t>对可以质疑的</w:t>
      </w:r>
      <w:r>
        <w:rPr>
          <w:rFonts w:hint="eastAsia" w:ascii="仿宋" w:hAnsi="仿宋" w:eastAsia="仿宋"/>
          <w:color w:val="auto"/>
          <w:sz w:val="28"/>
          <w:szCs w:val="28"/>
          <w:highlight w:val="none"/>
          <w:lang w:eastAsia="zh-CN"/>
        </w:rPr>
        <w:t>采购文件</w:t>
      </w:r>
      <w:r>
        <w:rPr>
          <w:rFonts w:ascii="仿宋" w:hAnsi="仿宋" w:eastAsia="仿宋"/>
          <w:color w:val="auto"/>
          <w:sz w:val="28"/>
          <w:szCs w:val="28"/>
          <w:highlight w:val="none"/>
        </w:rPr>
        <w:t>提出质疑的，为收到</w:t>
      </w:r>
      <w:r>
        <w:rPr>
          <w:rFonts w:hint="eastAsia" w:ascii="仿宋" w:hAnsi="仿宋" w:eastAsia="仿宋"/>
          <w:color w:val="auto"/>
          <w:sz w:val="28"/>
          <w:szCs w:val="28"/>
          <w:highlight w:val="none"/>
          <w:lang w:eastAsia="zh-CN"/>
        </w:rPr>
        <w:t>采购文件</w:t>
      </w:r>
      <w:r>
        <w:rPr>
          <w:rFonts w:ascii="仿宋" w:hAnsi="仿宋" w:eastAsia="仿宋"/>
          <w:color w:val="auto"/>
          <w:sz w:val="28"/>
          <w:szCs w:val="28"/>
          <w:highlight w:val="none"/>
        </w:rPr>
        <w:t>之日或者</w:t>
      </w:r>
      <w:r>
        <w:rPr>
          <w:rFonts w:hint="eastAsia" w:ascii="仿宋" w:hAnsi="仿宋" w:eastAsia="仿宋"/>
          <w:color w:val="auto"/>
          <w:sz w:val="28"/>
          <w:szCs w:val="28"/>
          <w:highlight w:val="none"/>
          <w:lang w:eastAsia="zh-CN"/>
        </w:rPr>
        <w:t>采购文件</w:t>
      </w:r>
      <w:r>
        <w:rPr>
          <w:rFonts w:ascii="仿宋" w:hAnsi="仿宋" w:eastAsia="仿宋"/>
          <w:color w:val="auto"/>
          <w:sz w:val="28"/>
          <w:szCs w:val="28"/>
          <w:highlight w:val="none"/>
        </w:rPr>
        <w:t>公告期限届满之日；对采购过程提出质疑的，为各采购程序环节结束之日；对成交结果提出质疑的，为成交结果公告期限届满之日。</w:t>
      </w:r>
    </w:p>
    <w:p w14:paraId="11844932">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p>
    <w:p w14:paraId="53B79AA2">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p>
    <w:p w14:paraId="3459C0BC">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w:t>
      </w:r>
      <w:r>
        <w:rPr>
          <w:rFonts w:hint="eastAsia" w:ascii="仿宋" w:hAnsi="仿宋" w:eastAsia="仿宋"/>
          <w:b/>
          <w:color w:val="auto"/>
          <w:sz w:val="28"/>
          <w:szCs w:val="28"/>
          <w:highlight w:val="none"/>
          <w:lang w:eastAsia="zh-CN"/>
        </w:rPr>
        <w:t>采购文件</w:t>
      </w:r>
      <w:r>
        <w:rPr>
          <w:rFonts w:hint="eastAsia" w:ascii="仿宋" w:hAnsi="仿宋" w:eastAsia="仿宋"/>
          <w:b/>
          <w:color w:val="auto"/>
          <w:sz w:val="28"/>
          <w:szCs w:val="28"/>
          <w:highlight w:val="none"/>
        </w:rPr>
        <w:t>中《质疑函范本》要求填写的质疑函原件。</w:t>
      </w:r>
    </w:p>
    <w:p w14:paraId="2A0CDE95">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，见磋商文件第</w:t>
      </w:r>
      <w:r>
        <w:rPr>
          <w:rFonts w:hint="eastAsia" w:ascii="仿宋" w:hAnsi="仿宋" w:eastAsia="仿宋"/>
          <w:b/>
          <w:color w:val="auto"/>
          <w:sz w:val="28"/>
          <w:szCs w:val="28"/>
          <w:highlight w:val="none"/>
        </w:rPr>
        <w:t>1</w:t>
      </w:r>
      <w:r>
        <w:rPr>
          <w:rFonts w:ascii="仿宋" w:hAnsi="仿宋" w:eastAsia="仿宋"/>
          <w:b/>
          <w:color w:val="auto"/>
          <w:sz w:val="28"/>
          <w:szCs w:val="28"/>
          <w:highlight w:val="none"/>
        </w:rPr>
        <w:t>章。</w:t>
      </w:r>
    </w:p>
    <w:p w14:paraId="6489D146">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以下情形的质疑不予受理：</w:t>
      </w:r>
    </w:p>
    <w:p w14:paraId="46F5B564">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内容不符合《政府采购质疑和投诉办法》第十二条规定的质疑。</w:t>
      </w:r>
    </w:p>
    <w:p w14:paraId="54B10638">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超出政府采购法定期限的质疑。</w:t>
      </w:r>
    </w:p>
    <w:p w14:paraId="08E66AB4">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9.7.3</w:t>
      </w:r>
      <w:r>
        <w:rPr>
          <w:rFonts w:ascii="仿宋" w:hAnsi="仿宋" w:eastAsia="仿宋"/>
          <w:color w:val="auto"/>
          <w:sz w:val="28"/>
          <w:szCs w:val="28"/>
          <w:highlight w:val="none"/>
        </w:rPr>
        <w:t>未参加磋商活动的供应商或在磋商活动中自身权益未受到损害的供应商所提出的质疑。</w:t>
      </w:r>
    </w:p>
    <w:p w14:paraId="0830BC74">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供应商组成联合体参加磋商活动，联合体中任何一方或多方未按要求签字、盖章、加盖公章的质疑。</w:t>
      </w:r>
    </w:p>
    <w:p w14:paraId="7A97AD6B">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供应商提出书面质疑必须有理、有据，不得捏造事实、提供虚假材料进行恶意质疑。否则，一经查实，</w:t>
      </w:r>
      <w:r>
        <w:rPr>
          <w:rFonts w:hint="eastAsia" w:ascii="仿宋" w:hAnsi="仿宋" w:eastAsia="仿宋"/>
          <w:color w:val="auto"/>
          <w:sz w:val="28"/>
          <w:szCs w:val="28"/>
          <w:highlight w:val="none"/>
        </w:rPr>
        <w:t>采购代理机构</w:t>
      </w:r>
      <w:r>
        <w:rPr>
          <w:rFonts w:ascii="仿宋" w:hAnsi="仿宋" w:eastAsia="仿宋"/>
          <w:color w:val="auto"/>
          <w:sz w:val="28"/>
          <w:szCs w:val="28"/>
          <w:highlight w:val="none"/>
        </w:rPr>
        <w:t>有权依据政府采购的有关规定，报请政府采购监管部门对该供应商进行相应的行政处罚和记录该供应商的失信信息。</w:t>
      </w:r>
    </w:p>
    <w:p w14:paraId="0844A9B1">
      <w:pPr>
        <w:keepNext w:val="0"/>
        <w:keepLines w:val="0"/>
        <w:pageBreakBefore w:val="0"/>
        <w:widowControl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9.9 质疑函范本</w:t>
      </w:r>
    </w:p>
    <w:p w14:paraId="11A5BADB">
      <w:pPr>
        <w:jc w:val="center"/>
        <w:outlineLvl w:val="9"/>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质疑函</w:t>
      </w:r>
    </w:p>
    <w:p w14:paraId="799D9E89">
      <w:pPr>
        <w:adjustRightInd w:val="0"/>
        <w:snapToGrid w:val="0"/>
        <w:spacing w:beforeLines="100" w:line="360" w:lineRule="auto"/>
        <w:outlineLvl w:val="9"/>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一、质疑供应商基本信息</w:t>
      </w:r>
    </w:p>
    <w:p w14:paraId="3162162A">
      <w:pPr>
        <w:adjustRightInd w:val="0"/>
        <w:snapToGrid w:val="0"/>
        <w:spacing w:line="360" w:lineRule="auto"/>
        <w:outlineLvl w:val="9"/>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质疑供应商：</w:t>
      </w:r>
    </w:p>
    <w:p w14:paraId="78488F6B">
      <w:pPr>
        <w:adjustRightInd w:val="0"/>
        <w:snapToGrid w:val="0"/>
        <w:spacing w:line="360" w:lineRule="auto"/>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地址：邮编：</w:t>
      </w:r>
    </w:p>
    <w:p w14:paraId="365DB7F3">
      <w:pPr>
        <w:adjustRightInd w:val="0"/>
        <w:snapToGrid w:val="0"/>
        <w:spacing w:line="360" w:lineRule="auto"/>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联系人：联系电话：</w:t>
      </w:r>
    </w:p>
    <w:p w14:paraId="7E6B0BC3">
      <w:pPr>
        <w:adjustRightInd w:val="0"/>
        <w:snapToGrid w:val="0"/>
        <w:spacing w:line="360" w:lineRule="auto"/>
        <w:outlineLvl w:val="9"/>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授权代表：联系电话：</w:t>
      </w:r>
    </w:p>
    <w:p w14:paraId="65D189E3">
      <w:pPr>
        <w:adjustRightInd w:val="0"/>
        <w:snapToGrid w:val="0"/>
        <w:spacing w:line="360" w:lineRule="auto"/>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地址：邮编：</w:t>
      </w:r>
    </w:p>
    <w:p w14:paraId="699B0AAF">
      <w:pPr>
        <w:adjustRightInd w:val="0"/>
        <w:snapToGrid w:val="0"/>
        <w:spacing w:line="360" w:lineRule="auto"/>
        <w:outlineLvl w:val="9"/>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二、质疑项目基本情况</w:t>
      </w:r>
    </w:p>
    <w:p w14:paraId="291F5350">
      <w:pPr>
        <w:adjustRightInd w:val="0"/>
        <w:snapToGrid w:val="0"/>
        <w:spacing w:line="360" w:lineRule="auto"/>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质疑项目的名称：</w:t>
      </w:r>
    </w:p>
    <w:p w14:paraId="71AAF173">
      <w:pPr>
        <w:adjustRightInd w:val="0"/>
        <w:snapToGrid w:val="0"/>
        <w:spacing w:line="360" w:lineRule="auto"/>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质疑项目的编号：包号：</w:t>
      </w:r>
    </w:p>
    <w:p w14:paraId="2ADF7811">
      <w:pPr>
        <w:adjustRightInd w:val="0"/>
        <w:snapToGrid w:val="0"/>
        <w:spacing w:line="360" w:lineRule="auto"/>
        <w:outlineLvl w:val="9"/>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采购人名称：</w:t>
      </w:r>
    </w:p>
    <w:p w14:paraId="606011B8">
      <w:pPr>
        <w:adjustRightInd w:val="0"/>
        <w:snapToGrid w:val="0"/>
        <w:spacing w:line="360" w:lineRule="auto"/>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采购文件获取日期：</w:t>
      </w:r>
    </w:p>
    <w:p w14:paraId="464149C3">
      <w:pPr>
        <w:adjustRightInd w:val="0"/>
        <w:snapToGrid w:val="0"/>
        <w:spacing w:line="360" w:lineRule="auto"/>
        <w:outlineLvl w:val="9"/>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三、质疑事项具体内容</w:t>
      </w:r>
    </w:p>
    <w:p w14:paraId="02777871">
      <w:pPr>
        <w:adjustRightInd w:val="0"/>
        <w:snapToGrid w:val="0"/>
        <w:spacing w:line="360" w:lineRule="auto"/>
        <w:outlineLvl w:val="9"/>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质疑事项1：</w:t>
      </w:r>
    </w:p>
    <w:p w14:paraId="24DE006D">
      <w:pPr>
        <w:adjustRightInd w:val="0"/>
        <w:snapToGrid w:val="0"/>
        <w:spacing w:line="360" w:lineRule="auto"/>
        <w:outlineLvl w:val="9"/>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事实依据：</w:t>
      </w:r>
    </w:p>
    <w:p w14:paraId="04E76816">
      <w:pPr>
        <w:adjustRightInd w:val="0"/>
        <w:snapToGrid w:val="0"/>
        <w:spacing w:line="360" w:lineRule="auto"/>
        <w:outlineLvl w:val="9"/>
        <w:rPr>
          <w:rFonts w:ascii="仿宋" w:hAnsi="仿宋" w:eastAsia="仿宋" w:cs="仿宋"/>
          <w:color w:val="auto"/>
          <w:sz w:val="28"/>
          <w:szCs w:val="28"/>
          <w:highlight w:val="none"/>
        </w:rPr>
      </w:pPr>
    </w:p>
    <w:p w14:paraId="298FB1AE">
      <w:pPr>
        <w:adjustRightInd w:val="0"/>
        <w:snapToGrid w:val="0"/>
        <w:spacing w:line="360" w:lineRule="auto"/>
        <w:outlineLvl w:val="9"/>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法律依据：</w:t>
      </w:r>
    </w:p>
    <w:p w14:paraId="670FF71A">
      <w:pPr>
        <w:adjustRightInd w:val="0"/>
        <w:snapToGrid w:val="0"/>
        <w:spacing w:line="360" w:lineRule="auto"/>
        <w:outlineLvl w:val="9"/>
        <w:rPr>
          <w:rFonts w:ascii="仿宋" w:hAnsi="仿宋" w:eastAsia="仿宋" w:cs="仿宋"/>
          <w:color w:val="auto"/>
          <w:sz w:val="28"/>
          <w:szCs w:val="28"/>
          <w:highlight w:val="none"/>
          <w:u w:val="dotted"/>
        </w:rPr>
      </w:pPr>
    </w:p>
    <w:p w14:paraId="1C4969A0">
      <w:pPr>
        <w:adjustRightInd w:val="0"/>
        <w:snapToGrid w:val="0"/>
        <w:spacing w:line="360" w:lineRule="auto"/>
        <w:outlineLvl w:val="9"/>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质疑事项2</w:t>
      </w:r>
    </w:p>
    <w:p w14:paraId="3B0AD488">
      <w:pPr>
        <w:adjustRightInd w:val="0"/>
        <w:snapToGrid w:val="0"/>
        <w:spacing w:line="360" w:lineRule="auto"/>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p w14:paraId="5D1DCFF9">
      <w:pPr>
        <w:adjustRightInd w:val="0"/>
        <w:snapToGrid w:val="0"/>
        <w:spacing w:line="360" w:lineRule="auto"/>
        <w:outlineLvl w:val="9"/>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四、与质疑事项相关的质疑请求</w:t>
      </w:r>
    </w:p>
    <w:p w14:paraId="2F51EB4F">
      <w:pPr>
        <w:adjustRightInd w:val="0"/>
        <w:snapToGrid w:val="0"/>
        <w:spacing w:line="360" w:lineRule="auto"/>
        <w:outlineLvl w:val="9"/>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请求：</w:t>
      </w:r>
    </w:p>
    <w:p w14:paraId="405AE13B">
      <w:pPr>
        <w:outlineLvl w:val="9"/>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p>
    <w:p w14:paraId="270A03C1">
      <w:pPr>
        <w:spacing w:line="500" w:lineRule="exact"/>
        <w:ind w:right="560" w:firstLine="560" w:firstLineChars="200"/>
        <w:outlineLvl w:val="9"/>
        <w:rPr>
          <w:rFonts w:ascii="仿宋" w:hAnsi="仿宋" w:eastAsia="仿宋"/>
          <w:color w:val="auto"/>
          <w:sz w:val="28"/>
          <w:szCs w:val="28"/>
          <w:highlight w:val="none"/>
        </w:rPr>
      </w:pPr>
      <w:r>
        <w:rPr>
          <w:rFonts w:hint="eastAsia" w:ascii="仿宋_GB2312" w:eastAsia="仿宋_GB2312"/>
          <w:color w:val="auto"/>
          <w:sz w:val="28"/>
          <w:szCs w:val="28"/>
          <w:highlight w:val="none"/>
        </w:rPr>
        <w:t>日期：</w:t>
      </w:r>
    </w:p>
    <w:p w14:paraId="34994B33">
      <w:pPr>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9.10 质疑供应商对采购人、采购代理机构的答复不满意，或者采购人、采购代理机构未在规定时间内作出答复的，可以在答复期满后15个工作日内向财政部门提起投诉。</w:t>
      </w:r>
    </w:p>
    <w:p w14:paraId="0DED6BCF">
      <w:pPr>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9.11 投诉人投诉时,应当提交投诉书和必要的证明材料，并按照被投诉采购人、采购代理机构（以下简称被投诉人）和与投诉事项有关的供应商数量提供投诉书的副本。</w:t>
      </w:r>
    </w:p>
    <w:p w14:paraId="4F993152">
      <w:pPr>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9.12 </w:t>
      </w:r>
      <w:r>
        <w:rPr>
          <w:rFonts w:ascii="仿宋" w:hAnsi="仿宋" w:eastAsia="仿宋"/>
          <w:color w:val="auto"/>
          <w:sz w:val="28"/>
          <w:szCs w:val="28"/>
          <w:highlight w:val="none"/>
        </w:rPr>
        <w:t>投诉人投诉时,应当提交投诉书和必要的证明材料，并按照被投诉采购人、采购代理机构（以下简称被投诉人）和与投诉事项有关的供应商数量提供投诉书的副本。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8"/>
          <w:szCs w:val="28"/>
          <w:highlight w:val="none"/>
        </w:rPr>
        <w:t>投诉人为自然人的，应当由本人签字；投诉人为法人或者其他组织的，应当由法定代表人、主要负责人，或者其授权代表签字或者盖章，并加盖公章。投诉书内容详见第9.14条投诉书范本。</w:t>
      </w:r>
    </w:p>
    <w:p w14:paraId="2601CE73">
      <w:pPr>
        <w:spacing w:line="500" w:lineRule="exact"/>
        <w:ind w:firstLine="560" w:firstLineChars="200"/>
        <w:jc w:val="lef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9.13 投诉人应当将投诉书送达如皋市财政局政府采购管理科（</w:t>
      </w:r>
      <w:r>
        <w:rPr>
          <w:rFonts w:ascii="仿宋" w:hAnsi="仿宋" w:eastAsia="仿宋"/>
          <w:color w:val="auto"/>
          <w:sz w:val="28"/>
          <w:szCs w:val="28"/>
          <w:highlight w:val="none"/>
        </w:rPr>
        <w:t>如皋市解放路199号，行政中心</w:t>
      </w:r>
      <w:r>
        <w:rPr>
          <w:rFonts w:hint="eastAsia" w:ascii="仿宋" w:hAnsi="仿宋" w:eastAsia="仿宋"/>
          <w:color w:val="auto"/>
          <w:sz w:val="28"/>
          <w:szCs w:val="28"/>
          <w:highlight w:val="none"/>
        </w:rPr>
        <w:t>A座</w:t>
      </w:r>
      <w:r>
        <w:rPr>
          <w:rFonts w:hint="eastAsia" w:ascii="仿宋" w:hAnsi="仿宋" w:eastAsia="仿宋"/>
          <w:color w:val="auto"/>
          <w:sz w:val="28"/>
          <w:szCs w:val="28"/>
          <w:highlight w:val="none"/>
          <w:lang w:eastAsia="zh-CN"/>
        </w:rPr>
        <w:t>710</w:t>
      </w:r>
      <w:r>
        <w:rPr>
          <w:rFonts w:hint="eastAsia" w:ascii="仿宋" w:hAnsi="仿宋" w:eastAsia="仿宋"/>
          <w:color w:val="auto"/>
          <w:sz w:val="28"/>
          <w:szCs w:val="28"/>
          <w:highlight w:val="none"/>
        </w:rPr>
        <w:t>室，联系电话0513-87623860）。</w:t>
      </w:r>
    </w:p>
    <w:p w14:paraId="5FFE91C9">
      <w:pPr>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9.14 投诉书范本</w:t>
      </w:r>
    </w:p>
    <w:p w14:paraId="623018DD">
      <w:pPr>
        <w:jc w:val="center"/>
        <w:outlineLvl w:val="9"/>
        <w:rPr>
          <w:rFonts w:ascii="宋体" w:hAnsi="宋体"/>
          <w:b/>
          <w:color w:val="auto"/>
          <w:sz w:val="32"/>
          <w:szCs w:val="32"/>
          <w:highlight w:val="none"/>
        </w:rPr>
      </w:pPr>
      <w:r>
        <w:rPr>
          <w:rFonts w:hint="eastAsia" w:ascii="宋体" w:hAnsi="宋体"/>
          <w:b/>
          <w:color w:val="auto"/>
          <w:sz w:val="32"/>
          <w:szCs w:val="32"/>
          <w:highlight w:val="none"/>
        </w:rPr>
        <w:t>投诉书</w:t>
      </w:r>
    </w:p>
    <w:p w14:paraId="64CF4A88">
      <w:pPr>
        <w:outlineLvl w:val="9"/>
        <w:rPr>
          <w:rFonts w:ascii="黑体" w:hAnsi="黑体" w:eastAsia="黑体"/>
          <w:color w:val="auto"/>
          <w:sz w:val="28"/>
          <w:szCs w:val="28"/>
          <w:highlight w:val="none"/>
        </w:rPr>
      </w:pPr>
      <w:r>
        <w:rPr>
          <w:rFonts w:hint="eastAsia" w:ascii="黑体" w:hAnsi="黑体" w:eastAsia="黑体"/>
          <w:color w:val="auto"/>
          <w:sz w:val="28"/>
          <w:szCs w:val="28"/>
          <w:highlight w:val="none"/>
        </w:rPr>
        <w:t>一、投诉相关主体基本情况</w:t>
      </w:r>
    </w:p>
    <w:p w14:paraId="1EA23E1A">
      <w:pPr>
        <w:outlineLvl w:val="9"/>
        <w:rPr>
          <w:rFonts w:ascii="仿宋_GB2312" w:eastAsia="仿宋_GB2312"/>
          <w:color w:val="auto"/>
          <w:sz w:val="28"/>
          <w:szCs w:val="28"/>
          <w:highlight w:val="none"/>
          <w:u w:val="dotted"/>
        </w:rPr>
      </w:pPr>
      <w:r>
        <w:rPr>
          <w:rFonts w:hint="eastAsia" w:ascii="仿宋_GB2312" w:eastAsia="仿宋_GB2312"/>
          <w:color w:val="auto"/>
          <w:sz w:val="28"/>
          <w:szCs w:val="28"/>
          <w:highlight w:val="none"/>
        </w:rPr>
        <w:t>投诉人：</w:t>
      </w:r>
    </w:p>
    <w:p w14:paraId="64594DF1">
      <w:pPr>
        <w:outlineLvl w:val="9"/>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地     址：邮编：</w:t>
      </w:r>
    </w:p>
    <w:p w14:paraId="08B477F3">
      <w:pPr>
        <w:tabs>
          <w:tab w:val="left" w:pos="6510"/>
        </w:tabs>
        <w:jc w:val="left"/>
        <w:outlineLvl w:val="9"/>
        <w:rPr>
          <w:rFonts w:ascii="仿宋_GB2312" w:eastAsia="仿宋_GB2312"/>
          <w:color w:val="auto"/>
          <w:sz w:val="28"/>
          <w:szCs w:val="28"/>
          <w:highlight w:val="none"/>
        </w:rPr>
      </w:pPr>
      <w:r>
        <w:rPr>
          <w:rFonts w:hint="eastAsia" w:ascii="仿宋_GB2312" w:eastAsia="仿宋_GB2312"/>
          <w:color w:val="auto"/>
          <w:sz w:val="28"/>
          <w:szCs w:val="28"/>
          <w:highlight w:val="none"/>
        </w:rPr>
        <w:t>法定代表人/主要负责人：联系电话：</w:t>
      </w:r>
    </w:p>
    <w:p w14:paraId="69608E23">
      <w:pPr>
        <w:outlineLvl w:val="9"/>
        <w:rPr>
          <w:rFonts w:ascii="仿宋_GB2312" w:eastAsia="仿宋_GB2312"/>
          <w:color w:val="auto"/>
          <w:sz w:val="28"/>
          <w:szCs w:val="28"/>
          <w:highlight w:val="none"/>
          <w:u w:val="dotted"/>
        </w:rPr>
      </w:pPr>
      <w:r>
        <w:rPr>
          <w:rFonts w:hint="eastAsia" w:ascii="仿宋_GB2312" w:eastAsia="仿宋_GB2312"/>
          <w:color w:val="auto"/>
          <w:sz w:val="28"/>
          <w:szCs w:val="28"/>
          <w:highlight w:val="none"/>
        </w:rPr>
        <w:t>授权代表：联系电话：</w:t>
      </w:r>
    </w:p>
    <w:p w14:paraId="56A25D4A">
      <w:pPr>
        <w:outlineLvl w:val="9"/>
        <w:rPr>
          <w:rFonts w:ascii="仿宋_GB2312" w:eastAsia="仿宋_GB2312"/>
          <w:color w:val="auto"/>
          <w:sz w:val="28"/>
          <w:szCs w:val="28"/>
          <w:highlight w:val="none"/>
          <w:u w:val="dotted"/>
        </w:rPr>
      </w:pPr>
      <w:r>
        <w:rPr>
          <w:rFonts w:hint="eastAsia" w:ascii="仿宋_GB2312" w:eastAsia="仿宋_GB2312"/>
          <w:color w:val="auto"/>
          <w:sz w:val="28"/>
          <w:szCs w:val="28"/>
          <w:highlight w:val="none"/>
        </w:rPr>
        <w:t>地     址：邮编：</w:t>
      </w:r>
    </w:p>
    <w:p w14:paraId="3C733D8F">
      <w:pPr>
        <w:outlineLvl w:val="9"/>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被投诉人1：</w:t>
      </w:r>
    </w:p>
    <w:p w14:paraId="5302F717">
      <w:pPr>
        <w:outlineLvl w:val="9"/>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地     址：邮编：</w:t>
      </w:r>
    </w:p>
    <w:p w14:paraId="75A23D6D">
      <w:pPr>
        <w:outlineLvl w:val="9"/>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联系人：联系电话：</w:t>
      </w:r>
    </w:p>
    <w:p w14:paraId="351B35CA">
      <w:pPr>
        <w:outlineLvl w:val="9"/>
        <w:rPr>
          <w:rFonts w:ascii="仿宋_GB2312" w:eastAsia="仿宋_GB2312"/>
          <w:color w:val="auto"/>
          <w:sz w:val="28"/>
          <w:szCs w:val="28"/>
          <w:highlight w:val="none"/>
        </w:rPr>
      </w:pPr>
      <w:r>
        <w:rPr>
          <w:rFonts w:hint="eastAsia" w:ascii="仿宋_GB2312" w:eastAsia="仿宋_GB2312"/>
          <w:color w:val="auto"/>
          <w:sz w:val="28"/>
          <w:szCs w:val="28"/>
          <w:highlight w:val="none"/>
        </w:rPr>
        <w:t>被投诉人2</w:t>
      </w:r>
    </w:p>
    <w:p w14:paraId="79D2E2D2">
      <w:pPr>
        <w:outlineLvl w:val="9"/>
        <w:rPr>
          <w:rFonts w:ascii="仿宋_GB2312" w:eastAsia="仿宋_GB2312"/>
          <w:color w:val="auto"/>
          <w:sz w:val="28"/>
          <w:szCs w:val="28"/>
          <w:highlight w:val="none"/>
          <w:u w:val="dotted"/>
        </w:rPr>
      </w:pPr>
      <w:r>
        <w:rPr>
          <w:rFonts w:hint="eastAsia" w:ascii="仿宋_GB2312" w:eastAsia="仿宋_GB2312"/>
          <w:color w:val="auto"/>
          <w:sz w:val="28"/>
          <w:szCs w:val="28"/>
          <w:highlight w:val="none"/>
        </w:rPr>
        <w:t>……</w:t>
      </w:r>
    </w:p>
    <w:p w14:paraId="556B4C99">
      <w:pPr>
        <w:outlineLvl w:val="9"/>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相关供应商：</w:t>
      </w:r>
    </w:p>
    <w:p w14:paraId="0BB03530">
      <w:pPr>
        <w:outlineLvl w:val="9"/>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地     址：邮编：</w:t>
      </w:r>
    </w:p>
    <w:p w14:paraId="33B80CE9">
      <w:pPr>
        <w:outlineLvl w:val="9"/>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联系人：联系电话：</w:t>
      </w:r>
    </w:p>
    <w:p w14:paraId="2E42A79E">
      <w:pPr>
        <w:outlineLvl w:val="9"/>
        <w:rPr>
          <w:rFonts w:ascii="黑体" w:hAnsi="黑体" w:eastAsia="黑体"/>
          <w:color w:val="auto"/>
          <w:sz w:val="28"/>
          <w:szCs w:val="28"/>
          <w:highlight w:val="none"/>
        </w:rPr>
      </w:pPr>
      <w:r>
        <w:rPr>
          <w:rFonts w:hint="eastAsia" w:ascii="黑体" w:hAnsi="黑体" w:eastAsia="黑体"/>
          <w:color w:val="auto"/>
          <w:sz w:val="28"/>
          <w:szCs w:val="28"/>
          <w:highlight w:val="none"/>
        </w:rPr>
        <w:t>二、投诉项目基本情况</w:t>
      </w:r>
    </w:p>
    <w:p w14:paraId="7F4A5F22">
      <w:pPr>
        <w:outlineLvl w:val="9"/>
        <w:rPr>
          <w:rFonts w:ascii="仿宋_GB2312" w:eastAsia="仿宋_GB2312"/>
          <w:color w:val="auto"/>
          <w:sz w:val="28"/>
          <w:szCs w:val="28"/>
          <w:highlight w:val="none"/>
          <w:u w:val="dotted"/>
        </w:rPr>
      </w:pPr>
      <w:r>
        <w:rPr>
          <w:rFonts w:hint="eastAsia" w:ascii="仿宋_GB2312" w:eastAsia="仿宋_GB2312"/>
          <w:color w:val="auto"/>
          <w:sz w:val="28"/>
          <w:szCs w:val="28"/>
          <w:highlight w:val="none"/>
        </w:rPr>
        <w:t>采购项目名称：</w:t>
      </w:r>
    </w:p>
    <w:p w14:paraId="5CE61234">
      <w:pPr>
        <w:outlineLvl w:val="9"/>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采购项目编号：包号：</w:t>
      </w:r>
    </w:p>
    <w:p w14:paraId="4D0FFD3A">
      <w:pPr>
        <w:outlineLvl w:val="9"/>
        <w:rPr>
          <w:rFonts w:ascii="仿宋_GB2312" w:eastAsia="仿宋_GB2312"/>
          <w:color w:val="auto"/>
          <w:sz w:val="28"/>
          <w:szCs w:val="28"/>
          <w:highlight w:val="none"/>
        </w:rPr>
      </w:pPr>
      <w:r>
        <w:rPr>
          <w:rFonts w:hint="eastAsia" w:ascii="仿宋_GB2312" w:eastAsia="仿宋_GB2312"/>
          <w:color w:val="auto"/>
          <w:sz w:val="28"/>
          <w:szCs w:val="28"/>
          <w:highlight w:val="none"/>
        </w:rPr>
        <w:t>采购人名称：</w:t>
      </w:r>
    </w:p>
    <w:p w14:paraId="44A8AAFD">
      <w:pPr>
        <w:outlineLvl w:val="9"/>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代理机构名称：</w:t>
      </w:r>
    </w:p>
    <w:p w14:paraId="62F85311">
      <w:pPr>
        <w:outlineLvl w:val="9"/>
        <w:rPr>
          <w:rFonts w:ascii="仿宋_GB2312" w:eastAsia="仿宋_GB2312"/>
          <w:color w:val="auto"/>
          <w:sz w:val="28"/>
          <w:szCs w:val="28"/>
          <w:highlight w:val="none"/>
          <w:u w:val="dotted"/>
        </w:rPr>
      </w:pPr>
      <w:r>
        <w:rPr>
          <w:rFonts w:hint="eastAsia" w:ascii="仿宋_GB2312" w:eastAsia="仿宋_GB2312"/>
          <w:color w:val="auto"/>
          <w:sz w:val="28"/>
          <w:szCs w:val="28"/>
          <w:highlight w:val="none"/>
        </w:rPr>
        <w:t>采购文件公告: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公告期限：</w:t>
      </w:r>
    </w:p>
    <w:p w14:paraId="26EC5669">
      <w:pPr>
        <w:outlineLvl w:val="9"/>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采购结果公告: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公告期限：</w:t>
      </w:r>
    </w:p>
    <w:p w14:paraId="7DAE5A3E">
      <w:pPr>
        <w:outlineLvl w:val="9"/>
        <w:rPr>
          <w:rFonts w:ascii="黑体" w:hAnsi="黑体" w:eastAsia="黑体"/>
          <w:color w:val="auto"/>
          <w:sz w:val="28"/>
          <w:szCs w:val="28"/>
          <w:highlight w:val="none"/>
        </w:rPr>
      </w:pPr>
      <w:r>
        <w:rPr>
          <w:rFonts w:hint="eastAsia" w:ascii="黑体" w:hAnsi="黑体" w:eastAsia="黑体"/>
          <w:color w:val="auto"/>
          <w:sz w:val="28"/>
          <w:szCs w:val="28"/>
          <w:highlight w:val="none"/>
        </w:rPr>
        <w:t>三、质疑基本情况</w:t>
      </w:r>
    </w:p>
    <w:p w14:paraId="50024EC5">
      <w:pPr>
        <w:ind w:firstLine="560" w:firstLineChars="200"/>
        <w:outlineLvl w:val="9"/>
        <w:rPr>
          <w:rFonts w:ascii="仿宋_GB2312" w:eastAsia="仿宋_GB2312"/>
          <w:color w:val="auto"/>
          <w:sz w:val="28"/>
          <w:szCs w:val="28"/>
          <w:highlight w:val="none"/>
          <w:u w:val="dotted"/>
        </w:rPr>
      </w:pPr>
      <w:r>
        <w:rPr>
          <w:rFonts w:hint="eastAsia" w:ascii="仿宋_GB2312" w:eastAsia="仿宋_GB2312"/>
          <w:color w:val="auto"/>
          <w:sz w:val="28"/>
          <w:szCs w:val="28"/>
          <w:highlight w:val="none"/>
        </w:rPr>
        <w:t>投诉人于年月日,向提出质疑，质疑事项为：</w:t>
      </w:r>
    </w:p>
    <w:p w14:paraId="293F047A">
      <w:pPr>
        <w:outlineLvl w:val="9"/>
        <w:rPr>
          <w:rFonts w:ascii="仿宋_GB2312" w:eastAsia="仿宋_GB2312"/>
          <w:color w:val="auto"/>
          <w:sz w:val="28"/>
          <w:szCs w:val="28"/>
          <w:highlight w:val="none"/>
          <w:u w:val="dotted"/>
        </w:rPr>
      </w:pPr>
    </w:p>
    <w:p w14:paraId="67B8101D">
      <w:pPr>
        <w:ind w:firstLine="420" w:firstLineChars="150"/>
        <w:outlineLvl w:val="9"/>
        <w:rPr>
          <w:rFonts w:ascii="仿宋_GB2312" w:eastAsia="仿宋_GB2312"/>
          <w:color w:val="auto"/>
          <w:sz w:val="28"/>
          <w:szCs w:val="28"/>
          <w:highlight w:val="none"/>
        </w:rPr>
      </w:pPr>
      <w:r>
        <w:rPr>
          <w:rFonts w:hint="eastAsia" w:ascii="仿宋_GB2312" w:eastAsia="仿宋_GB2312"/>
          <w:color w:val="auto"/>
          <w:sz w:val="28"/>
          <w:szCs w:val="28"/>
          <w:highlight w:val="none"/>
          <w:u w:val="dotted"/>
        </w:rPr>
        <w:t>采购人/代理机构</w:t>
      </w:r>
      <w:r>
        <w:rPr>
          <w:rFonts w:hint="eastAsia" w:ascii="仿宋_GB2312" w:eastAsia="仿宋_GB2312"/>
          <w:color w:val="auto"/>
          <w:sz w:val="28"/>
          <w:szCs w:val="28"/>
          <w:highlight w:val="none"/>
        </w:rPr>
        <w:t>于年月日,就质疑事项作出了答复/没有在法定期限内作出答复。</w:t>
      </w:r>
    </w:p>
    <w:p w14:paraId="0063153A">
      <w:pPr>
        <w:outlineLvl w:val="9"/>
        <w:rPr>
          <w:rFonts w:ascii="黑体" w:hAnsi="黑体" w:eastAsia="黑体"/>
          <w:color w:val="auto"/>
          <w:sz w:val="28"/>
          <w:szCs w:val="28"/>
          <w:highlight w:val="none"/>
        </w:rPr>
      </w:pPr>
      <w:r>
        <w:rPr>
          <w:rFonts w:hint="eastAsia" w:ascii="黑体" w:hAnsi="黑体" w:eastAsia="黑体"/>
          <w:color w:val="auto"/>
          <w:sz w:val="28"/>
          <w:szCs w:val="28"/>
          <w:highlight w:val="none"/>
        </w:rPr>
        <w:t>四、投诉事项具体内容</w:t>
      </w:r>
    </w:p>
    <w:p w14:paraId="53B56C75">
      <w:pPr>
        <w:outlineLvl w:val="9"/>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投诉事项 1：</w:t>
      </w:r>
    </w:p>
    <w:p w14:paraId="38CB9349">
      <w:pPr>
        <w:outlineLvl w:val="9"/>
        <w:rPr>
          <w:rFonts w:ascii="仿宋_GB2312" w:eastAsia="仿宋_GB2312"/>
          <w:color w:val="auto"/>
          <w:sz w:val="28"/>
          <w:szCs w:val="28"/>
          <w:highlight w:val="none"/>
        </w:rPr>
      </w:pPr>
      <w:r>
        <w:rPr>
          <w:rFonts w:hint="eastAsia" w:ascii="仿宋_GB2312" w:eastAsia="仿宋_GB2312"/>
          <w:color w:val="auto"/>
          <w:sz w:val="28"/>
          <w:szCs w:val="28"/>
          <w:highlight w:val="none"/>
        </w:rPr>
        <w:t>事实依据：</w:t>
      </w:r>
    </w:p>
    <w:p w14:paraId="789B09EC">
      <w:pPr>
        <w:outlineLvl w:val="9"/>
        <w:rPr>
          <w:rFonts w:ascii="仿宋_GB2312" w:eastAsia="仿宋_GB2312"/>
          <w:color w:val="auto"/>
          <w:sz w:val="28"/>
          <w:szCs w:val="28"/>
          <w:highlight w:val="none"/>
          <w:u w:val="dotted"/>
        </w:rPr>
      </w:pPr>
    </w:p>
    <w:p w14:paraId="4ADE1489">
      <w:pPr>
        <w:outlineLvl w:val="9"/>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法律依据：</w:t>
      </w:r>
    </w:p>
    <w:p w14:paraId="2FBFE8A0">
      <w:pPr>
        <w:outlineLvl w:val="9"/>
        <w:rPr>
          <w:rFonts w:ascii="仿宋_GB2312" w:eastAsia="仿宋_GB2312"/>
          <w:color w:val="auto"/>
          <w:sz w:val="28"/>
          <w:szCs w:val="28"/>
          <w:highlight w:val="none"/>
          <w:u w:val="dotted"/>
        </w:rPr>
      </w:pPr>
    </w:p>
    <w:p w14:paraId="6AC46CDB">
      <w:pPr>
        <w:outlineLvl w:val="9"/>
        <w:rPr>
          <w:rFonts w:ascii="仿宋_GB2312" w:eastAsia="仿宋_GB2312"/>
          <w:color w:val="auto"/>
          <w:sz w:val="28"/>
          <w:szCs w:val="28"/>
          <w:highlight w:val="none"/>
        </w:rPr>
      </w:pPr>
      <w:r>
        <w:rPr>
          <w:rFonts w:hint="eastAsia" w:ascii="仿宋_GB2312" w:eastAsia="仿宋_GB2312"/>
          <w:color w:val="auto"/>
          <w:sz w:val="28"/>
          <w:szCs w:val="28"/>
          <w:highlight w:val="none"/>
        </w:rPr>
        <w:t>投诉事项2</w:t>
      </w:r>
    </w:p>
    <w:p w14:paraId="577E09B4">
      <w:pPr>
        <w:outlineLvl w:val="9"/>
        <w:rPr>
          <w:rFonts w:ascii="仿宋_GB2312" w:eastAsia="仿宋_GB2312"/>
          <w:color w:val="auto"/>
          <w:sz w:val="28"/>
          <w:szCs w:val="28"/>
          <w:highlight w:val="none"/>
          <w:u w:val="dotted"/>
        </w:rPr>
      </w:pPr>
      <w:r>
        <w:rPr>
          <w:rFonts w:hint="eastAsia" w:ascii="仿宋_GB2312" w:eastAsia="仿宋_GB2312"/>
          <w:color w:val="auto"/>
          <w:sz w:val="28"/>
          <w:szCs w:val="28"/>
          <w:highlight w:val="none"/>
        </w:rPr>
        <w:t>……</w:t>
      </w:r>
    </w:p>
    <w:p w14:paraId="410ABC06">
      <w:pPr>
        <w:outlineLvl w:val="9"/>
        <w:rPr>
          <w:rFonts w:ascii="黑体" w:hAnsi="黑体" w:eastAsia="黑体"/>
          <w:color w:val="auto"/>
          <w:sz w:val="28"/>
          <w:szCs w:val="28"/>
          <w:highlight w:val="none"/>
        </w:rPr>
      </w:pPr>
      <w:r>
        <w:rPr>
          <w:rFonts w:hint="eastAsia" w:ascii="黑体" w:hAnsi="黑体" w:eastAsia="黑体"/>
          <w:color w:val="auto"/>
          <w:sz w:val="28"/>
          <w:szCs w:val="28"/>
          <w:highlight w:val="none"/>
        </w:rPr>
        <w:t>五、与投诉事项相关的投诉请求</w:t>
      </w:r>
    </w:p>
    <w:p w14:paraId="37BCC8DD">
      <w:pPr>
        <w:outlineLvl w:val="9"/>
        <w:rPr>
          <w:rFonts w:ascii="仿宋_GB2312" w:eastAsia="仿宋_GB2312"/>
          <w:color w:val="auto"/>
          <w:sz w:val="28"/>
          <w:szCs w:val="28"/>
          <w:highlight w:val="none"/>
        </w:rPr>
      </w:pPr>
      <w:r>
        <w:rPr>
          <w:rFonts w:hint="eastAsia" w:ascii="仿宋_GB2312" w:eastAsia="仿宋_GB2312"/>
          <w:color w:val="auto"/>
          <w:sz w:val="28"/>
          <w:szCs w:val="28"/>
          <w:highlight w:val="none"/>
        </w:rPr>
        <w:t>请求：</w:t>
      </w:r>
    </w:p>
    <w:p w14:paraId="7DC360B0">
      <w:pPr>
        <w:outlineLvl w:val="9"/>
        <w:rPr>
          <w:rFonts w:ascii="仿宋_GB2312" w:eastAsia="仿宋_GB2312"/>
          <w:color w:val="auto"/>
          <w:sz w:val="28"/>
          <w:szCs w:val="28"/>
          <w:highlight w:val="none"/>
          <w:u w:val="single"/>
        </w:rPr>
      </w:pPr>
    </w:p>
    <w:p w14:paraId="37EB4351">
      <w:pPr>
        <w:outlineLvl w:val="9"/>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p>
    <w:p w14:paraId="2B819933">
      <w:pPr>
        <w:spacing w:line="500" w:lineRule="exact"/>
        <w:ind w:firstLine="560" w:firstLineChars="200"/>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    </w:t>
      </w:r>
    </w:p>
    <w:p w14:paraId="47A40FBE">
      <w:pPr>
        <w:spacing w:line="500" w:lineRule="exact"/>
        <w:ind w:firstLine="560" w:firstLineChars="200"/>
        <w:jc w:val="left"/>
        <w:outlineLvl w:val="1"/>
        <w:rPr>
          <w:rFonts w:ascii="仿宋" w:hAnsi="仿宋" w:eastAsia="仿宋"/>
          <w:color w:val="auto"/>
          <w:sz w:val="28"/>
          <w:szCs w:val="28"/>
          <w:highlight w:val="none"/>
        </w:rPr>
      </w:pPr>
      <w:bookmarkStart w:id="53" w:name="_Toc14206"/>
      <w:r>
        <w:rPr>
          <w:rFonts w:hint="eastAsia" w:ascii="黑体" w:hAnsi="黑体" w:eastAsia="黑体"/>
          <w:color w:val="auto"/>
          <w:sz w:val="28"/>
          <w:szCs w:val="28"/>
          <w:highlight w:val="none"/>
        </w:rPr>
        <w:t>10. 政府采购合同信用融资扶持政策</w:t>
      </w:r>
      <w:bookmarkEnd w:id="53"/>
    </w:p>
    <w:p w14:paraId="13CB87AF">
      <w:pPr>
        <w:spacing w:line="500" w:lineRule="exact"/>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p>
    <w:p w14:paraId="3368BE22">
      <w:pPr>
        <w:spacing w:line="500" w:lineRule="exact"/>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10.2 成交供应商如需获得合同信用融资支持，可凭政府采购合同办理“政采贷”融资贷款，详情请见南通市政府采购网 “易企服”综合服务平台-金融产品全周期-贷款产品专栏。</w:t>
      </w:r>
    </w:p>
    <w:p w14:paraId="23EB994F">
      <w:pPr>
        <w:spacing w:line="500" w:lineRule="exact"/>
        <w:ind w:firstLine="560" w:firstLineChars="200"/>
        <w:outlineLvl w:val="1"/>
        <w:rPr>
          <w:rFonts w:ascii="黑体" w:hAnsi="黑体" w:eastAsia="黑体"/>
          <w:color w:val="auto"/>
          <w:sz w:val="28"/>
          <w:szCs w:val="28"/>
          <w:highlight w:val="none"/>
        </w:rPr>
      </w:pPr>
      <w:bookmarkStart w:id="54" w:name="_Toc12330"/>
      <w:r>
        <w:rPr>
          <w:rFonts w:hint="eastAsia" w:ascii="黑体" w:hAnsi="黑体" w:eastAsia="黑体"/>
          <w:color w:val="auto"/>
          <w:sz w:val="28"/>
          <w:szCs w:val="28"/>
          <w:highlight w:val="none"/>
        </w:rPr>
        <w:t>11. 采购代理服务费</w:t>
      </w:r>
      <w:bookmarkEnd w:id="54"/>
    </w:p>
    <w:p w14:paraId="1EE83C59">
      <w:pPr>
        <w:keepNext w:val="0"/>
        <w:keepLines w:val="0"/>
        <w:widowControl w:val="0"/>
        <w:suppressLineNumbers w:val="0"/>
        <w:spacing w:before="0" w:beforeAutospacing="0" w:after="0" w:afterAutospacing="0" w:line="500" w:lineRule="exact"/>
        <w:ind w:left="0" w:right="0" w:firstLine="560" w:firstLineChars="200"/>
        <w:jc w:val="left"/>
        <w:rPr>
          <w:rFonts w:hint="eastAsia" w:ascii="仿宋" w:hAnsi="仿宋" w:eastAsia="仿宋" w:cs="仿宋"/>
          <w:color w:val="auto"/>
          <w:kern w:val="2"/>
          <w:sz w:val="28"/>
          <w:szCs w:val="28"/>
          <w:highlight w:val="none"/>
          <w:lang w:val="en-US" w:eastAsia="zh-CN" w:bidi="ar"/>
        </w:rPr>
      </w:pPr>
      <w:r>
        <w:rPr>
          <w:rFonts w:hint="eastAsia" w:ascii="仿宋" w:hAnsi="仿宋" w:eastAsia="仿宋"/>
          <w:color w:val="auto"/>
          <w:sz w:val="28"/>
          <w:szCs w:val="28"/>
          <w:highlight w:val="none"/>
        </w:rPr>
        <w:t>11.1</w:t>
      </w:r>
      <w:r>
        <w:rPr>
          <w:rFonts w:hint="eastAsia" w:ascii="仿宋" w:hAnsi="仿宋" w:eastAsia="仿宋" w:cs="仿宋"/>
          <w:color w:val="auto"/>
          <w:kern w:val="2"/>
          <w:sz w:val="28"/>
          <w:szCs w:val="28"/>
          <w:highlight w:val="none"/>
          <w:lang w:val="en-US" w:eastAsia="zh-CN" w:bidi="ar"/>
        </w:rPr>
        <w:t>采购代理服务费依据财政部《政府采购代理机构管理暂行办法》(财库〔2018〕2号)及《江苏省政府采购代理服务收费指导意见》（苏政采协〔2024〕20号）的规定执行。收取标准：以成交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p>
    <w:p w14:paraId="6AC45A7B">
      <w:pPr>
        <w:spacing w:line="500" w:lineRule="exact"/>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11.2 采购代理服务费由成交供应商支付。成交供应商自成交结果公告发布之日起五个工作日内，向采购代理机构支付服务费。</w:t>
      </w:r>
    </w:p>
    <w:p w14:paraId="7E02C5F5">
      <w:pPr>
        <w:spacing w:line="500" w:lineRule="exact"/>
        <w:ind w:firstLine="560" w:firstLineChars="200"/>
        <w:jc w:val="lef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11.3 采购代理机构账户信息：</w:t>
      </w:r>
    </w:p>
    <w:p w14:paraId="37E74E1C">
      <w:pPr>
        <w:spacing w:line="500" w:lineRule="exact"/>
        <w:ind w:firstLine="560" w:firstLineChars="200"/>
        <w:jc w:val="lef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11.3.1收款单位名称为：</w:t>
      </w:r>
      <w:r>
        <w:rPr>
          <w:rFonts w:hint="eastAsia" w:ascii="仿宋" w:hAnsi="仿宋" w:eastAsia="仿宋" w:cs="宋体"/>
          <w:color w:val="auto"/>
          <w:kern w:val="0"/>
          <w:sz w:val="28"/>
          <w:szCs w:val="28"/>
          <w:highlight w:val="none"/>
        </w:rPr>
        <w:t>南通中江工程项目管理有限公司江海分公司</w:t>
      </w:r>
      <w:r>
        <w:rPr>
          <w:rFonts w:hint="eastAsia" w:ascii="仿宋" w:hAnsi="仿宋" w:eastAsia="仿宋"/>
          <w:color w:val="auto"/>
          <w:sz w:val="28"/>
          <w:szCs w:val="28"/>
          <w:highlight w:val="none"/>
        </w:rPr>
        <w:t>；</w:t>
      </w:r>
    </w:p>
    <w:p w14:paraId="293F2DB3">
      <w:pPr>
        <w:spacing w:line="500" w:lineRule="exact"/>
        <w:ind w:firstLine="560" w:firstLineChars="200"/>
        <w:jc w:val="lef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11.3.2账户号码：</w:t>
      </w:r>
      <w:r>
        <w:rPr>
          <w:rFonts w:hint="eastAsia" w:ascii="仿宋" w:hAnsi="仿宋" w:eastAsia="仿宋" w:cs="宋体"/>
          <w:color w:val="auto"/>
          <w:kern w:val="0"/>
          <w:sz w:val="28"/>
          <w:szCs w:val="28"/>
          <w:highlight w:val="none"/>
        </w:rPr>
        <w:t>32050164726000001501</w:t>
      </w:r>
      <w:r>
        <w:rPr>
          <w:rFonts w:hint="eastAsia" w:ascii="仿宋" w:hAnsi="仿宋" w:eastAsia="仿宋"/>
          <w:color w:val="auto"/>
          <w:sz w:val="28"/>
          <w:szCs w:val="28"/>
          <w:highlight w:val="none"/>
        </w:rPr>
        <w:t>；</w:t>
      </w:r>
    </w:p>
    <w:p w14:paraId="68C3F7A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11.3.3开户行：</w:t>
      </w:r>
      <w:r>
        <w:rPr>
          <w:rFonts w:hint="eastAsia" w:ascii="仿宋" w:hAnsi="仿宋" w:eastAsia="仿宋" w:cs="宋体"/>
          <w:color w:val="auto"/>
          <w:kern w:val="0"/>
          <w:sz w:val="28"/>
          <w:szCs w:val="28"/>
          <w:highlight w:val="none"/>
        </w:rPr>
        <w:t>中国建设银行股份有限公司如皋北门支行，行号：105306200032</w:t>
      </w:r>
      <w:r>
        <w:rPr>
          <w:rFonts w:hint="eastAsia" w:ascii="仿宋" w:hAnsi="仿宋" w:eastAsia="仿宋" w:cs="宋体"/>
          <w:color w:val="auto"/>
          <w:kern w:val="0"/>
          <w:sz w:val="28"/>
          <w:szCs w:val="28"/>
          <w:highlight w:val="none"/>
          <w:lang w:eastAsia="zh-CN"/>
        </w:rPr>
        <w:t>。</w:t>
      </w:r>
    </w:p>
    <w:p w14:paraId="46E28A97">
      <w:pPr>
        <w:spacing w:line="500" w:lineRule="exact"/>
        <w:ind w:firstLine="560" w:firstLineChars="200"/>
        <w:jc w:val="left"/>
        <w:outlineLvl w:val="9"/>
        <w:rPr>
          <w:rFonts w:hint="eastAsia" w:ascii="仿宋" w:hAnsi="仿宋" w:eastAsia="仿宋"/>
          <w:color w:val="auto"/>
          <w:sz w:val="28"/>
          <w:szCs w:val="28"/>
          <w:highlight w:val="none"/>
          <w:lang w:eastAsia="zh-CN"/>
        </w:rPr>
      </w:pPr>
    </w:p>
    <w:bookmarkEnd w:id="6"/>
    <w:p w14:paraId="63C2CE2D">
      <w:pPr>
        <w:pStyle w:val="25"/>
        <w:spacing w:line="240" w:lineRule="auto"/>
        <w:ind w:firstLine="0"/>
        <w:jc w:val="center"/>
        <w:outlineLvl w:val="0"/>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br w:type="page"/>
      </w:r>
      <w:bookmarkStart w:id="55" w:name="_Toc43"/>
      <w:r>
        <w:rPr>
          <w:rFonts w:hint="eastAsia" w:ascii="方正小标宋简体" w:eastAsia="方正小标宋简体"/>
          <w:bCs/>
          <w:color w:val="auto"/>
          <w:sz w:val="32"/>
          <w:szCs w:val="32"/>
          <w:highlight w:val="none"/>
        </w:rPr>
        <w:t>第3章 采购需求</w:t>
      </w:r>
      <w:bookmarkEnd w:id="55"/>
    </w:p>
    <w:p w14:paraId="56BD1E94">
      <w:pPr>
        <w:spacing w:line="500" w:lineRule="exact"/>
        <w:ind w:firstLine="562" w:firstLineChars="200"/>
        <w:jc w:val="left"/>
        <w:rPr>
          <w:rFonts w:ascii="仿宋" w:hAnsi="仿宋" w:eastAsia="仿宋" w:cs="Times New Roman"/>
          <w:b/>
          <w:bCs/>
          <w:color w:val="auto"/>
          <w:sz w:val="28"/>
          <w:szCs w:val="28"/>
          <w:highlight w:val="none"/>
        </w:rPr>
      </w:pPr>
      <w:r>
        <w:rPr>
          <w:rFonts w:ascii="仿宋" w:hAnsi="仿宋" w:eastAsia="仿宋" w:cs="Times New Roman"/>
          <w:b/>
          <w:bCs/>
          <w:color w:val="auto"/>
          <w:sz w:val="28"/>
          <w:szCs w:val="28"/>
          <w:highlight w:val="none"/>
        </w:rPr>
        <w:t>供应商在制作</w:t>
      </w:r>
      <w:r>
        <w:rPr>
          <w:rFonts w:hint="eastAsia" w:ascii="仿宋" w:hAnsi="仿宋" w:eastAsia="仿宋" w:cs="Times New Roman"/>
          <w:b/>
          <w:bCs/>
          <w:color w:val="auto"/>
          <w:sz w:val="28"/>
          <w:szCs w:val="28"/>
          <w:highlight w:val="none"/>
        </w:rPr>
        <w:t>响应</w:t>
      </w:r>
      <w:r>
        <w:rPr>
          <w:rFonts w:ascii="仿宋" w:hAnsi="仿宋" w:eastAsia="仿宋" w:cs="Times New Roman"/>
          <w:b/>
          <w:bCs/>
          <w:color w:val="auto"/>
          <w:sz w:val="28"/>
          <w:szCs w:val="28"/>
          <w:highlight w:val="none"/>
        </w:rPr>
        <w:t>文件时仔细研究</w:t>
      </w:r>
      <w:r>
        <w:rPr>
          <w:rFonts w:hint="eastAsia" w:ascii="仿宋" w:hAnsi="仿宋" w:eastAsia="仿宋" w:cs="Times New Roman"/>
          <w:b/>
          <w:bCs/>
          <w:color w:val="auto"/>
          <w:sz w:val="28"/>
          <w:szCs w:val="28"/>
          <w:highlight w:val="none"/>
        </w:rPr>
        <w:t>采购</w:t>
      </w:r>
      <w:r>
        <w:rPr>
          <w:rFonts w:ascii="仿宋" w:hAnsi="仿宋" w:eastAsia="仿宋" w:cs="Times New Roman"/>
          <w:b/>
          <w:bCs/>
          <w:color w:val="auto"/>
          <w:sz w:val="28"/>
          <w:szCs w:val="28"/>
          <w:highlight w:val="none"/>
        </w:rPr>
        <w:t>需求说明。</w:t>
      </w:r>
      <w:r>
        <w:rPr>
          <w:rFonts w:hint="eastAsia" w:ascii="仿宋" w:hAnsi="仿宋" w:eastAsia="仿宋" w:cs="Times New Roman"/>
          <w:b/>
          <w:bCs/>
          <w:color w:val="auto"/>
          <w:sz w:val="28"/>
          <w:szCs w:val="28"/>
          <w:highlight w:val="none"/>
        </w:rPr>
        <w:t>采购</w:t>
      </w:r>
      <w:r>
        <w:rPr>
          <w:rFonts w:ascii="仿宋" w:hAnsi="仿宋" w:eastAsia="仿宋" w:cs="Times New Roman"/>
          <w:b/>
          <w:bCs/>
          <w:color w:val="auto"/>
          <w:sz w:val="28"/>
          <w:szCs w:val="28"/>
          <w:highlight w:val="none"/>
        </w:rPr>
        <w:t>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2E29C656">
      <w:pPr>
        <w:spacing w:line="500" w:lineRule="exact"/>
        <w:ind w:firstLine="562" w:firstLineChars="200"/>
        <w:jc w:val="left"/>
        <w:rPr>
          <w:rFonts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t>供</w:t>
      </w:r>
      <w:r>
        <w:rPr>
          <w:rFonts w:ascii="仿宋" w:hAnsi="仿宋" w:eastAsia="仿宋" w:cs="Times New Roman"/>
          <w:b/>
          <w:bCs/>
          <w:color w:val="auto"/>
          <w:sz w:val="28"/>
          <w:szCs w:val="28"/>
          <w:highlight w:val="none"/>
        </w:rPr>
        <w:t>应商不能简单照搬照抄</w:t>
      </w:r>
      <w:r>
        <w:rPr>
          <w:rFonts w:hint="eastAsia" w:ascii="仿宋" w:hAnsi="仿宋" w:eastAsia="仿宋" w:cs="Times New Roman"/>
          <w:b/>
          <w:bCs/>
          <w:color w:val="auto"/>
          <w:sz w:val="28"/>
          <w:szCs w:val="28"/>
          <w:highlight w:val="none"/>
        </w:rPr>
        <w:t>磋商</w:t>
      </w:r>
      <w:r>
        <w:rPr>
          <w:rFonts w:ascii="仿宋" w:hAnsi="仿宋" w:eastAsia="仿宋" w:cs="Times New Roman"/>
          <w:b/>
          <w:bCs/>
          <w:color w:val="auto"/>
          <w:sz w:val="28"/>
          <w:szCs w:val="28"/>
          <w:highlight w:val="none"/>
        </w:rPr>
        <w:t>文件项目需求说明中的技术、商务要求，必须作实事求是的响应。如响应供应商提供的货物和服务同</w:t>
      </w:r>
      <w:r>
        <w:rPr>
          <w:rFonts w:hint="eastAsia" w:ascii="仿宋" w:hAnsi="仿宋" w:eastAsia="仿宋" w:cs="Times New Roman"/>
          <w:b/>
          <w:bCs/>
          <w:color w:val="auto"/>
          <w:sz w:val="28"/>
          <w:szCs w:val="28"/>
          <w:highlight w:val="none"/>
        </w:rPr>
        <w:t>采购人</w:t>
      </w:r>
      <w:r>
        <w:rPr>
          <w:rFonts w:ascii="仿宋" w:hAnsi="仿宋" w:eastAsia="仿宋" w:cs="Times New Roman"/>
          <w:b/>
          <w:bCs/>
          <w:color w:val="auto"/>
          <w:sz w:val="28"/>
          <w:szCs w:val="28"/>
          <w:highlight w:val="none"/>
        </w:rPr>
        <w:t>提出的项目需求说明中的技术、商务要求不同的，必须在《商务部分正负偏离表》和《技术部分正负偏离表》上明示</w:t>
      </w:r>
      <w:r>
        <w:rPr>
          <w:rFonts w:hint="eastAsia" w:ascii="仿宋" w:hAnsi="仿宋" w:eastAsia="仿宋" w:cs="Times New Roman"/>
          <w:b/>
          <w:bCs/>
          <w:color w:val="auto"/>
          <w:sz w:val="28"/>
          <w:szCs w:val="28"/>
          <w:highlight w:val="none"/>
        </w:rPr>
        <w:t>。</w:t>
      </w:r>
    </w:p>
    <w:p w14:paraId="5E18CD4E">
      <w:pPr>
        <w:spacing w:line="500" w:lineRule="exact"/>
        <w:ind w:firstLine="560" w:firstLineChars="200"/>
        <w:outlineLvl w:val="1"/>
        <w:rPr>
          <w:rFonts w:ascii="黑体" w:hAnsi="黑体" w:eastAsia="黑体"/>
          <w:color w:val="auto"/>
          <w:sz w:val="28"/>
          <w:szCs w:val="28"/>
          <w:highlight w:val="none"/>
        </w:rPr>
      </w:pPr>
      <w:bookmarkStart w:id="56" w:name="_Toc13925"/>
      <w:bookmarkStart w:id="57" w:name="_Toc20585"/>
      <w:r>
        <w:rPr>
          <w:rFonts w:hint="eastAsia" w:ascii="黑体" w:hAnsi="黑体" w:eastAsia="黑体"/>
          <w:color w:val="auto"/>
          <w:sz w:val="28"/>
          <w:szCs w:val="28"/>
          <w:highlight w:val="none"/>
        </w:rPr>
        <w:t>一、项目简介</w:t>
      </w:r>
      <w:bookmarkEnd w:id="56"/>
    </w:p>
    <w:p w14:paraId="223CA5E3">
      <w:pPr>
        <w:spacing w:line="500" w:lineRule="exact"/>
        <w:ind w:firstLine="560" w:firstLineChars="200"/>
        <w:outlineLvl w:val="9"/>
        <w:rPr>
          <w:rFonts w:hint="default" w:ascii="仿宋" w:hAnsi="仿宋" w:eastAsia="仿宋"/>
          <w:color w:val="auto"/>
          <w:sz w:val="28"/>
          <w:szCs w:val="28"/>
          <w:highlight w:val="none"/>
          <w:lang w:val="en-US" w:eastAsia="zh-CN"/>
        </w:rPr>
      </w:pPr>
      <w:bookmarkStart w:id="58" w:name="_Toc10487"/>
      <w:r>
        <w:rPr>
          <w:rFonts w:hint="eastAsia" w:ascii="仿宋" w:hAnsi="仿宋" w:eastAsia="仿宋"/>
          <w:b w:val="0"/>
          <w:bCs w:val="0"/>
          <w:color w:val="auto"/>
          <w:sz w:val="28"/>
          <w:szCs w:val="28"/>
          <w:highlight w:val="none"/>
        </w:rPr>
        <w:t>本项目为如皋市东陈镇生活垃圾中转运输及配套处置服务，</w:t>
      </w:r>
      <w:r>
        <w:rPr>
          <w:rFonts w:hint="eastAsia" w:ascii="仿宋" w:hAnsi="仿宋" w:eastAsia="仿宋"/>
          <w:color w:val="auto"/>
          <w:sz w:val="28"/>
          <w:szCs w:val="28"/>
          <w:highlight w:val="none"/>
        </w:rPr>
        <w:t>含垃圾中转站运营维护，垃圾压榨后运送至</w:t>
      </w:r>
      <w:r>
        <w:rPr>
          <w:rFonts w:hint="eastAsia" w:ascii="仿宋" w:hAnsi="仿宋" w:eastAsia="仿宋" w:cs="仿宋"/>
          <w:color w:val="auto"/>
          <w:sz w:val="28"/>
          <w:szCs w:val="28"/>
          <w:highlight w:val="none"/>
        </w:rPr>
        <w:t>政府指定的地点</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垃圾渗漏液处置，垃圾站污水处理及运维，应急处置及处理等。</w:t>
      </w:r>
    </w:p>
    <w:p w14:paraId="37CAC371">
      <w:pPr>
        <w:spacing w:line="500" w:lineRule="exact"/>
        <w:ind w:firstLine="560" w:firstLineChars="200"/>
        <w:outlineLvl w:val="1"/>
        <w:rPr>
          <w:rFonts w:ascii="黑体" w:hAnsi="黑体" w:eastAsia="黑体"/>
          <w:color w:val="auto"/>
          <w:sz w:val="28"/>
          <w:szCs w:val="28"/>
          <w:highlight w:val="none"/>
        </w:rPr>
      </w:pPr>
      <w:r>
        <w:rPr>
          <w:rFonts w:hint="eastAsia" w:ascii="黑体" w:hAnsi="黑体" w:eastAsia="黑体"/>
          <w:color w:val="auto"/>
          <w:sz w:val="28"/>
          <w:szCs w:val="28"/>
          <w:highlight w:val="none"/>
        </w:rPr>
        <w:t>二、采购内容</w:t>
      </w:r>
      <w:bookmarkEnd w:id="58"/>
    </w:p>
    <w:p w14:paraId="0EF61D62">
      <w:pPr>
        <w:spacing w:line="500" w:lineRule="exact"/>
        <w:ind w:firstLine="560" w:firstLineChars="200"/>
        <w:outlineLvl w:val="9"/>
        <w:rPr>
          <w:rFonts w:hint="eastAsia"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lang w:eastAsia="zh-CN"/>
        </w:rPr>
        <w:t>（</w:t>
      </w:r>
      <w:r>
        <w:rPr>
          <w:rFonts w:hint="eastAsia" w:ascii="仿宋" w:hAnsi="仿宋" w:eastAsia="仿宋"/>
          <w:b w:val="0"/>
          <w:bCs w:val="0"/>
          <w:color w:val="auto"/>
          <w:sz w:val="28"/>
          <w:szCs w:val="28"/>
          <w:highlight w:val="none"/>
          <w:lang w:val="en-US" w:eastAsia="zh-CN"/>
        </w:rPr>
        <w:t>一</w:t>
      </w:r>
      <w:r>
        <w:rPr>
          <w:rFonts w:hint="eastAsia" w:ascii="仿宋" w:hAnsi="仿宋" w:eastAsia="仿宋"/>
          <w:b w:val="0"/>
          <w:bCs w:val="0"/>
          <w:color w:val="auto"/>
          <w:sz w:val="28"/>
          <w:szCs w:val="28"/>
          <w:highlight w:val="none"/>
          <w:lang w:eastAsia="zh-CN"/>
        </w:rPr>
        <w:t>）</w:t>
      </w:r>
      <w:r>
        <w:rPr>
          <w:rFonts w:hint="eastAsia" w:ascii="仿宋" w:hAnsi="仿宋" w:eastAsia="仿宋"/>
          <w:b w:val="0"/>
          <w:bCs w:val="0"/>
          <w:color w:val="auto"/>
          <w:sz w:val="28"/>
          <w:szCs w:val="28"/>
          <w:highlight w:val="none"/>
        </w:rPr>
        <w:t>原东陈、</w:t>
      </w:r>
      <w:r>
        <w:rPr>
          <w:rFonts w:hint="eastAsia" w:ascii="仿宋" w:hAnsi="仿宋" w:eastAsia="仿宋"/>
          <w:b w:val="0"/>
          <w:bCs w:val="0"/>
          <w:color w:val="auto"/>
          <w:sz w:val="28"/>
          <w:szCs w:val="28"/>
          <w:highlight w:val="none"/>
          <w:lang w:val="en-US" w:eastAsia="zh-CN"/>
        </w:rPr>
        <w:t>南凌</w:t>
      </w:r>
      <w:r>
        <w:rPr>
          <w:rFonts w:hint="eastAsia" w:ascii="仿宋" w:hAnsi="仿宋" w:eastAsia="仿宋"/>
          <w:b w:val="0"/>
          <w:bCs w:val="0"/>
          <w:color w:val="auto"/>
          <w:sz w:val="28"/>
          <w:szCs w:val="28"/>
          <w:highlight w:val="none"/>
        </w:rPr>
        <w:t>两座垃圾站设备、设施的运行维护</w:t>
      </w:r>
      <w:r>
        <w:rPr>
          <w:rFonts w:hint="eastAsia" w:ascii="仿宋" w:hAnsi="仿宋" w:eastAsia="仿宋"/>
          <w:b w:val="0"/>
          <w:bCs w:val="0"/>
          <w:color w:val="auto"/>
          <w:sz w:val="28"/>
          <w:szCs w:val="28"/>
          <w:highlight w:val="none"/>
          <w:lang w:eastAsia="zh-CN"/>
        </w:rPr>
        <w:t>，</w:t>
      </w:r>
      <w:r>
        <w:rPr>
          <w:rFonts w:hint="eastAsia" w:ascii="仿宋" w:hAnsi="仿宋" w:eastAsia="仿宋"/>
          <w:b w:val="0"/>
          <w:bCs w:val="0"/>
          <w:color w:val="auto"/>
          <w:sz w:val="28"/>
          <w:szCs w:val="28"/>
          <w:highlight w:val="none"/>
          <w:lang w:val="en-US" w:eastAsia="zh-CN"/>
        </w:rPr>
        <w:t>房屋、场地维护</w:t>
      </w:r>
      <w:r>
        <w:rPr>
          <w:rFonts w:hint="eastAsia" w:ascii="仿宋" w:hAnsi="仿宋" w:eastAsia="仿宋"/>
          <w:b w:val="0"/>
          <w:bCs w:val="0"/>
          <w:color w:val="auto"/>
          <w:sz w:val="28"/>
          <w:szCs w:val="28"/>
          <w:highlight w:val="none"/>
        </w:rPr>
        <w:t>；</w:t>
      </w:r>
    </w:p>
    <w:p w14:paraId="0B0F5414">
      <w:pPr>
        <w:spacing w:line="500" w:lineRule="exact"/>
        <w:ind w:firstLine="560" w:firstLineChars="200"/>
        <w:outlineLvl w:val="9"/>
        <w:rPr>
          <w:rFonts w:hint="eastAsia"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lang w:eastAsia="zh-CN"/>
        </w:rPr>
        <w:t>（</w:t>
      </w:r>
      <w:r>
        <w:rPr>
          <w:rFonts w:hint="eastAsia" w:ascii="仿宋" w:hAnsi="仿宋" w:eastAsia="仿宋"/>
          <w:b w:val="0"/>
          <w:bCs w:val="0"/>
          <w:color w:val="auto"/>
          <w:sz w:val="28"/>
          <w:szCs w:val="28"/>
          <w:highlight w:val="none"/>
          <w:lang w:val="en-US" w:eastAsia="zh-CN"/>
        </w:rPr>
        <w:t>二</w:t>
      </w:r>
      <w:r>
        <w:rPr>
          <w:rFonts w:hint="eastAsia" w:ascii="仿宋" w:hAnsi="仿宋" w:eastAsia="仿宋"/>
          <w:b w:val="0"/>
          <w:bCs w:val="0"/>
          <w:color w:val="auto"/>
          <w:sz w:val="28"/>
          <w:szCs w:val="28"/>
          <w:highlight w:val="none"/>
          <w:lang w:eastAsia="zh-CN"/>
        </w:rPr>
        <w:t>）</w:t>
      </w:r>
      <w:r>
        <w:rPr>
          <w:rFonts w:hint="eastAsia" w:ascii="仿宋" w:hAnsi="仿宋" w:eastAsia="仿宋"/>
          <w:b w:val="0"/>
          <w:bCs w:val="0"/>
          <w:color w:val="auto"/>
          <w:sz w:val="28"/>
          <w:szCs w:val="28"/>
          <w:highlight w:val="none"/>
          <w:lang w:val="en-US" w:eastAsia="zh-CN"/>
        </w:rPr>
        <w:t>垃圾站污水处理及运维、有限空间作业、应急处置，</w:t>
      </w:r>
      <w:r>
        <w:rPr>
          <w:rFonts w:hint="eastAsia" w:ascii="仿宋" w:hAnsi="仿宋" w:eastAsia="仿宋"/>
          <w:b w:val="0"/>
          <w:bCs w:val="0"/>
          <w:color w:val="auto"/>
          <w:sz w:val="28"/>
          <w:szCs w:val="28"/>
          <w:highlight w:val="none"/>
        </w:rPr>
        <w:t>垃圾渗滤液的处理</w:t>
      </w:r>
      <w:r>
        <w:rPr>
          <w:rFonts w:hint="eastAsia" w:ascii="仿宋" w:hAnsi="仿宋" w:eastAsia="仿宋"/>
          <w:b w:val="0"/>
          <w:bCs w:val="0"/>
          <w:color w:val="auto"/>
          <w:sz w:val="28"/>
          <w:szCs w:val="28"/>
          <w:highlight w:val="none"/>
          <w:lang w:val="en-US" w:eastAsia="zh-CN"/>
        </w:rPr>
        <w:t>并达到处置要求</w:t>
      </w:r>
      <w:r>
        <w:rPr>
          <w:rFonts w:hint="eastAsia" w:ascii="仿宋" w:hAnsi="仿宋" w:eastAsia="仿宋"/>
          <w:b w:val="0"/>
          <w:bCs w:val="0"/>
          <w:color w:val="auto"/>
          <w:sz w:val="28"/>
          <w:szCs w:val="28"/>
          <w:highlight w:val="none"/>
        </w:rPr>
        <w:t>，垃圾渗滤液预处理装置的维护；</w:t>
      </w:r>
    </w:p>
    <w:p w14:paraId="648E452A">
      <w:pPr>
        <w:spacing w:line="500" w:lineRule="exact"/>
        <w:ind w:firstLine="560" w:firstLineChars="200"/>
        <w:outlineLvl w:val="9"/>
        <w:rPr>
          <w:rFonts w:hint="eastAsia"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lang w:eastAsia="zh-CN"/>
        </w:rPr>
        <w:t>（</w:t>
      </w:r>
      <w:r>
        <w:rPr>
          <w:rFonts w:hint="eastAsia" w:ascii="仿宋" w:hAnsi="仿宋" w:eastAsia="仿宋"/>
          <w:b w:val="0"/>
          <w:bCs w:val="0"/>
          <w:color w:val="auto"/>
          <w:sz w:val="28"/>
          <w:szCs w:val="28"/>
          <w:highlight w:val="none"/>
          <w:lang w:val="en-US" w:eastAsia="zh-CN"/>
        </w:rPr>
        <w:t>三</w:t>
      </w:r>
      <w:r>
        <w:rPr>
          <w:rFonts w:hint="eastAsia" w:ascii="仿宋" w:hAnsi="仿宋" w:eastAsia="仿宋"/>
          <w:b w:val="0"/>
          <w:bCs w:val="0"/>
          <w:color w:val="auto"/>
          <w:sz w:val="28"/>
          <w:szCs w:val="28"/>
          <w:highlight w:val="none"/>
          <w:lang w:eastAsia="zh-CN"/>
        </w:rPr>
        <w:t>）</w:t>
      </w:r>
      <w:r>
        <w:rPr>
          <w:rFonts w:hint="eastAsia" w:ascii="仿宋" w:hAnsi="仿宋" w:eastAsia="仿宋"/>
          <w:b w:val="0"/>
          <w:bCs w:val="0"/>
          <w:color w:val="auto"/>
          <w:sz w:val="28"/>
          <w:szCs w:val="28"/>
          <w:highlight w:val="none"/>
        </w:rPr>
        <w:t>垃圾</w:t>
      </w:r>
      <w:r>
        <w:rPr>
          <w:rFonts w:hint="eastAsia" w:ascii="仿宋" w:hAnsi="仿宋" w:eastAsia="仿宋"/>
          <w:b w:val="0"/>
          <w:bCs w:val="0"/>
          <w:color w:val="auto"/>
          <w:sz w:val="28"/>
          <w:szCs w:val="28"/>
          <w:highlight w:val="none"/>
          <w:lang w:eastAsia="zh-CN"/>
        </w:rPr>
        <w:t>压榨并运送</w:t>
      </w:r>
      <w:r>
        <w:rPr>
          <w:rFonts w:hint="eastAsia" w:ascii="仿宋" w:hAnsi="仿宋" w:eastAsia="仿宋"/>
          <w:b w:val="0"/>
          <w:bCs w:val="0"/>
          <w:color w:val="auto"/>
          <w:sz w:val="28"/>
          <w:szCs w:val="28"/>
          <w:highlight w:val="none"/>
        </w:rPr>
        <w:t>至政府指定的地点；</w:t>
      </w:r>
    </w:p>
    <w:p w14:paraId="0A72C719">
      <w:pPr>
        <w:spacing w:line="500" w:lineRule="exact"/>
        <w:ind w:firstLine="560" w:firstLineChars="200"/>
        <w:outlineLvl w:val="9"/>
        <w:rPr>
          <w:rFonts w:hint="eastAsia" w:ascii="仿宋" w:hAnsi="仿宋" w:eastAsia="仿宋"/>
          <w:b w:val="0"/>
          <w:bCs w:val="0"/>
          <w:color w:val="auto"/>
          <w:sz w:val="28"/>
          <w:szCs w:val="28"/>
          <w:highlight w:val="none"/>
          <w:lang w:eastAsia="zh-CN"/>
        </w:rPr>
      </w:pPr>
      <w:r>
        <w:rPr>
          <w:rFonts w:hint="eastAsia" w:ascii="仿宋" w:hAnsi="仿宋" w:eastAsia="仿宋"/>
          <w:b w:val="0"/>
          <w:bCs w:val="0"/>
          <w:color w:val="auto"/>
          <w:sz w:val="28"/>
          <w:szCs w:val="28"/>
          <w:highlight w:val="none"/>
          <w:lang w:eastAsia="zh-CN"/>
        </w:rPr>
        <w:t>（</w:t>
      </w:r>
      <w:r>
        <w:rPr>
          <w:rFonts w:hint="eastAsia" w:ascii="仿宋" w:hAnsi="仿宋" w:eastAsia="仿宋"/>
          <w:b w:val="0"/>
          <w:bCs w:val="0"/>
          <w:color w:val="auto"/>
          <w:sz w:val="28"/>
          <w:szCs w:val="28"/>
          <w:highlight w:val="none"/>
          <w:lang w:val="en-US" w:eastAsia="zh-CN"/>
        </w:rPr>
        <w:t>四</w:t>
      </w:r>
      <w:r>
        <w:rPr>
          <w:rFonts w:hint="eastAsia" w:ascii="仿宋" w:hAnsi="仿宋" w:eastAsia="仿宋"/>
          <w:b w:val="0"/>
          <w:bCs w:val="0"/>
          <w:color w:val="auto"/>
          <w:sz w:val="28"/>
          <w:szCs w:val="28"/>
          <w:highlight w:val="none"/>
          <w:lang w:eastAsia="zh-CN"/>
        </w:rPr>
        <w:t>）</w:t>
      </w:r>
      <w:r>
        <w:rPr>
          <w:rFonts w:hint="eastAsia" w:ascii="仿宋" w:hAnsi="仿宋" w:eastAsia="仿宋"/>
          <w:b w:val="0"/>
          <w:bCs w:val="0"/>
          <w:color w:val="auto"/>
          <w:sz w:val="28"/>
          <w:szCs w:val="28"/>
          <w:highlight w:val="none"/>
        </w:rPr>
        <w:t>垃圾转运使用车辆要符合相关部门规定的要求，专业运输必须使用专业运输企业的车辆，采取封闭式运输，驾驶员</w:t>
      </w:r>
      <w:r>
        <w:rPr>
          <w:rFonts w:hint="eastAsia" w:ascii="仿宋" w:hAnsi="仿宋" w:eastAsia="仿宋"/>
          <w:b w:val="0"/>
          <w:bCs w:val="0"/>
          <w:color w:val="auto"/>
          <w:sz w:val="28"/>
          <w:szCs w:val="28"/>
          <w:highlight w:val="none"/>
          <w:lang w:eastAsia="zh-CN"/>
        </w:rPr>
        <w:t>须</w:t>
      </w:r>
      <w:r>
        <w:rPr>
          <w:rFonts w:hint="eastAsia" w:ascii="仿宋" w:hAnsi="仿宋" w:eastAsia="仿宋"/>
          <w:b w:val="0"/>
          <w:bCs w:val="0"/>
          <w:color w:val="auto"/>
          <w:sz w:val="28"/>
          <w:szCs w:val="28"/>
          <w:highlight w:val="none"/>
        </w:rPr>
        <w:t>具有相应的有效驾驶证件，并严格遵守相关交通法律法规</w:t>
      </w:r>
      <w:r>
        <w:rPr>
          <w:rFonts w:hint="eastAsia" w:ascii="仿宋" w:hAnsi="仿宋" w:eastAsia="仿宋"/>
          <w:b w:val="0"/>
          <w:bCs w:val="0"/>
          <w:color w:val="auto"/>
          <w:sz w:val="28"/>
          <w:szCs w:val="28"/>
          <w:highlight w:val="none"/>
          <w:lang w:eastAsia="zh-CN"/>
        </w:rPr>
        <w:t>；</w:t>
      </w:r>
    </w:p>
    <w:p w14:paraId="1A8D2A5F">
      <w:pPr>
        <w:spacing w:line="500" w:lineRule="exact"/>
        <w:ind w:firstLine="560" w:firstLineChars="200"/>
        <w:outlineLvl w:val="9"/>
        <w:rPr>
          <w:rFonts w:hint="eastAsia" w:ascii="仿宋" w:hAnsi="仿宋" w:eastAsia="仿宋"/>
          <w:b w:val="0"/>
          <w:bCs w:val="0"/>
          <w:color w:val="auto"/>
          <w:sz w:val="28"/>
          <w:szCs w:val="28"/>
          <w:highlight w:val="none"/>
          <w:lang w:eastAsia="zh-CN"/>
        </w:rPr>
      </w:pPr>
      <w:r>
        <w:rPr>
          <w:rFonts w:hint="eastAsia" w:ascii="仿宋" w:hAnsi="仿宋" w:eastAsia="仿宋"/>
          <w:b w:val="0"/>
          <w:bCs w:val="0"/>
          <w:color w:val="auto"/>
          <w:sz w:val="28"/>
          <w:szCs w:val="28"/>
          <w:highlight w:val="none"/>
          <w:lang w:eastAsia="zh-CN"/>
        </w:rPr>
        <w:t>（</w:t>
      </w:r>
      <w:r>
        <w:rPr>
          <w:rFonts w:hint="eastAsia" w:ascii="仿宋" w:hAnsi="仿宋" w:eastAsia="仿宋"/>
          <w:b w:val="0"/>
          <w:bCs w:val="0"/>
          <w:color w:val="auto"/>
          <w:sz w:val="28"/>
          <w:szCs w:val="28"/>
          <w:highlight w:val="none"/>
          <w:lang w:val="en-US" w:eastAsia="zh-CN"/>
        </w:rPr>
        <w:t>五</w:t>
      </w:r>
      <w:r>
        <w:rPr>
          <w:rFonts w:hint="eastAsia" w:ascii="仿宋" w:hAnsi="仿宋" w:eastAsia="仿宋"/>
          <w:b w:val="0"/>
          <w:bCs w:val="0"/>
          <w:color w:val="auto"/>
          <w:sz w:val="28"/>
          <w:szCs w:val="28"/>
          <w:highlight w:val="none"/>
          <w:lang w:eastAsia="zh-CN"/>
        </w:rPr>
        <w:t>）</w:t>
      </w:r>
      <w:r>
        <w:rPr>
          <w:rFonts w:hint="eastAsia" w:ascii="仿宋" w:hAnsi="仿宋" w:eastAsia="仿宋"/>
          <w:b w:val="0"/>
          <w:bCs w:val="0"/>
          <w:color w:val="auto"/>
          <w:sz w:val="28"/>
          <w:szCs w:val="28"/>
          <w:highlight w:val="none"/>
          <w:lang w:val="en-US" w:eastAsia="zh-CN"/>
        </w:rPr>
        <w:t>成交人</w:t>
      </w:r>
      <w:r>
        <w:rPr>
          <w:rFonts w:hint="eastAsia" w:ascii="仿宋" w:hAnsi="仿宋" w:eastAsia="仿宋"/>
          <w:b w:val="0"/>
          <w:bCs w:val="0"/>
          <w:color w:val="auto"/>
          <w:sz w:val="28"/>
          <w:szCs w:val="28"/>
          <w:highlight w:val="none"/>
        </w:rPr>
        <w:t>负责提供满足清运要求的运输车辆、清运设备</w:t>
      </w:r>
      <w:r>
        <w:rPr>
          <w:rFonts w:hint="eastAsia" w:ascii="仿宋" w:hAnsi="仿宋" w:eastAsia="仿宋"/>
          <w:b w:val="0"/>
          <w:bCs w:val="0"/>
          <w:color w:val="auto"/>
          <w:sz w:val="28"/>
          <w:szCs w:val="28"/>
          <w:highlight w:val="none"/>
          <w:lang w:val="en-US" w:eastAsia="zh-CN"/>
        </w:rPr>
        <w:t>及应急设施设备</w:t>
      </w:r>
      <w:r>
        <w:rPr>
          <w:rFonts w:hint="eastAsia" w:ascii="仿宋" w:hAnsi="仿宋" w:eastAsia="仿宋"/>
          <w:b w:val="0"/>
          <w:bCs w:val="0"/>
          <w:color w:val="auto"/>
          <w:sz w:val="28"/>
          <w:szCs w:val="28"/>
          <w:highlight w:val="none"/>
        </w:rPr>
        <w:t>、驾驶人员</w:t>
      </w:r>
      <w:r>
        <w:rPr>
          <w:rFonts w:hint="eastAsia" w:ascii="仿宋" w:hAnsi="仿宋" w:eastAsia="仿宋"/>
          <w:b w:val="0"/>
          <w:bCs w:val="0"/>
          <w:color w:val="auto"/>
          <w:sz w:val="28"/>
          <w:szCs w:val="28"/>
          <w:highlight w:val="none"/>
          <w:lang w:val="en-US" w:eastAsia="zh-CN"/>
        </w:rPr>
        <w:t>及</w:t>
      </w:r>
      <w:r>
        <w:rPr>
          <w:rFonts w:hint="eastAsia" w:ascii="仿宋" w:hAnsi="仿宋" w:eastAsia="仿宋"/>
          <w:b w:val="0"/>
          <w:bCs w:val="0"/>
          <w:color w:val="auto"/>
          <w:sz w:val="28"/>
          <w:szCs w:val="28"/>
          <w:highlight w:val="none"/>
        </w:rPr>
        <w:t>装运人员，并做好日常</w:t>
      </w:r>
      <w:r>
        <w:rPr>
          <w:rFonts w:hint="eastAsia" w:ascii="仿宋" w:hAnsi="仿宋" w:eastAsia="仿宋"/>
          <w:b w:val="0"/>
          <w:bCs w:val="0"/>
          <w:color w:val="auto"/>
          <w:sz w:val="28"/>
          <w:szCs w:val="28"/>
          <w:highlight w:val="none"/>
          <w:lang w:val="en-US" w:eastAsia="zh-CN"/>
        </w:rPr>
        <w:t>人员、设备</w:t>
      </w:r>
      <w:r>
        <w:rPr>
          <w:rFonts w:hint="eastAsia" w:ascii="仿宋" w:hAnsi="仿宋" w:eastAsia="仿宋"/>
          <w:b w:val="0"/>
          <w:bCs w:val="0"/>
          <w:color w:val="auto"/>
          <w:sz w:val="28"/>
          <w:szCs w:val="28"/>
          <w:highlight w:val="none"/>
        </w:rPr>
        <w:t>管理</w:t>
      </w:r>
      <w:r>
        <w:rPr>
          <w:rFonts w:hint="eastAsia" w:ascii="仿宋" w:hAnsi="仿宋" w:eastAsia="仿宋"/>
          <w:b w:val="0"/>
          <w:bCs w:val="0"/>
          <w:color w:val="auto"/>
          <w:sz w:val="28"/>
          <w:szCs w:val="28"/>
          <w:highlight w:val="none"/>
          <w:lang w:eastAsia="zh-CN"/>
        </w:rPr>
        <w:t>；</w:t>
      </w:r>
    </w:p>
    <w:p w14:paraId="07486C20">
      <w:pPr>
        <w:spacing w:line="500" w:lineRule="exact"/>
        <w:ind w:firstLine="560" w:firstLineChars="200"/>
        <w:outlineLvl w:val="9"/>
        <w:rPr>
          <w:rFonts w:hint="default"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lang w:eastAsia="zh-CN"/>
        </w:rPr>
        <w:t>（</w:t>
      </w:r>
      <w:r>
        <w:rPr>
          <w:rFonts w:hint="eastAsia" w:ascii="仿宋" w:hAnsi="仿宋" w:eastAsia="仿宋"/>
          <w:b w:val="0"/>
          <w:bCs w:val="0"/>
          <w:color w:val="auto"/>
          <w:sz w:val="28"/>
          <w:szCs w:val="28"/>
          <w:highlight w:val="none"/>
          <w:lang w:val="en-US" w:eastAsia="zh-CN"/>
        </w:rPr>
        <w:t>六</w:t>
      </w:r>
      <w:r>
        <w:rPr>
          <w:rFonts w:hint="eastAsia" w:ascii="仿宋" w:hAnsi="仿宋" w:eastAsia="仿宋"/>
          <w:b w:val="0"/>
          <w:bCs w:val="0"/>
          <w:color w:val="auto"/>
          <w:sz w:val="28"/>
          <w:szCs w:val="28"/>
          <w:highlight w:val="none"/>
          <w:lang w:eastAsia="zh-CN"/>
        </w:rPr>
        <w:t>）</w:t>
      </w:r>
      <w:r>
        <w:rPr>
          <w:rFonts w:hint="eastAsia" w:ascii="仿宋" w:hAnsi="仿宋" w:eastAsia="仿宋"/>
          <w:b w:val="0"/>
          <w:bCs w:val="0"/>
          <w:color w:val="auto"/>
          <w:sz w:val="28"/>
          <w:szCs w:val="28"/>
          <w:highlight w:val="none"/>
          <w:lang w:val="en-US" w:eastAsia="zh-CN"/>
        </w:rPr>
        <w:t>提供移动应急垃圾处置及污水处置设施；</w:t>
      </w:r>
    </w:p>
    <w:p w14:paraId="331AB797">
      <w:pPr>
        <w:spacing w:line="500" w:lineRule="exact"/>
        <w:ind w:firstLine="560" w:firstLineChars="200"/>
        <w:outlineLvl w:val="9"/>
        <w:rPr>
          <w:rFonts w:hint="eastAsia" w:ascii="仿宋" w:hAnsi="仿宋" w:eastAsia="仿宋"/>
          <w:b w:val="0"/>
          <w:bCs w:val="0"/>
          <w:color w:val="auto"/>
          <w:sz w:val="28"/>
          <w:szCs w:val="28"/>
          <w:highlight w:val="none"/>
          <w:lang w:eastAsia="zh-CN"/>
        </w:rPr>
      </w:pPr>
      <w:r>
        <w:rPr>
          <w:rFonts w:hint="eastAsia" w:ascii="仿宋" w:hAnsi="仿宋" w:eastAsia="仿宋"/>
          <w:b w:val="0"/>
          <w:bCs w:val="0"/>
          <w:color w:val="auto"/>
          <w:sz w:val="28"/>
          <w:szCs w:val="28"/>
          <w:highlight w:val="none"/>
          <w:lang w:val="en-US" w:eastAsia="zh-CN"/>
        </w:rPr>
        <w:t>（七）现东陈镇垃圾转送服务暂估量每年不超过20000吨，超过部分不予另行结算。</w:t>
      </w:r>
    </w:p>
    <w:p w14:paraId="38FC761D">
      <w:pPr>
        <w:spacing w:line="500" w:lineRule="exact"/>
        <w:ind w:firstLine="560" w:firstLineChars="200"/>
        <w:rPr>
          <w:rFonts w:hint="eastAsia" w:ascii="黑体" w:hAnsi="黑体" w:eastAsia="黑体"/>
          <w:color w:val="auto"/>
          <w:sz w:val="28"/>
          <w:szCs w:val="28"/>
          <w:highlight w:val="none"/>
        </w:rPr>
      </w:pPr>
      <w:r>
        <w:rPr>
          <w:rFonts w:hint="eastAsia" w:ascii="黑体" w:hAnsi="黑体" w:eastAsia="黑体"/>
          <w:color w:val="auto"/>
          <w:sz w:val="28"/>
          <w:szCs w:val="28"/>
          <w:highlight w:val="none"/>
        </w:rPr>
        <w:t>三、服务要求</w:t>
      </w:r>
    </w:p>
    <w:p w14:paraId="1D94EC0A">
      <w:pPr>
        <w:spacing w:line="500" w:lineRule="exact"/>
        <w:ind w:firstLine="562" w:firstLineChars="200"/>
        <w:outlineLvl w:val="9"/>
        <w:rPr>
          <w:rFonts w:hint="eastAsia"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（一）垃圾中转站操作规范</w:t>
      </w:r>
    </w:p>
    <w:p w14:paraId="2D702633">
      <w:pPr>
        <w:spacing w:line="500" w:lineRule="exact"/>
        <w:ind w:firstLine="560" w:firstLineChars="200"/>
        <w:outlineLvl w:val="9"/>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1.垃圾中转站开放时间与垃圾收集时间对应，个别因垃圾量大，适当提前和延时开放以留出收运进站和转运时间。</w:t>
      </w:r>
    </w:p>
    <w:p w14:paraId="4F56B062">
      <w:pPr>
        <w:spacing w:line="500" w:lineRule="exact"/>
        <w:ind w:firstLine="560" w:firstLineChars="200"/>
        <w:outlineLvl w:val="9"/>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2.垃圾中转站内应有防止粉尘飘散和垃圾飞扬、防污染扩散、污水收集处理系统等设施，以防止污水污染地表水和地下水。</w:t>
      </w:r>
    </w:p>
    <w:p w14:paraId="76EFE4E3">
      <w:pPr>
        <w:spacing w:line="500" w:lineRule="exact"/>
        <w:ind w:firstLine="560" w:firstLineChars="200"/>
        <w:outlineLvl w:val="9"/>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3.垃圾中转站内应有除臭设施，并在开放时间保持启用状态。</w:t>
      </w:r>
    </w:p>
    <w:p w14:paraId="70FBA08A">
      <w:pPr>
        <w:spacing w:line="500" w:lineRule="exact"/>
        <w:ind w:firstLine="560" w:firstLineChars="200"/>
        <w:outlineLvl w:val="9"/>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4.垃圾中转站内外应通风良好，无恶臭，墙壁、窗户及机械部分应无积尘、蛛网、无杂物、干净、整洁、无乱贴、乱画、站内张贴管理规章制度。</w:t>
      </w:r>
    </w:p>
    <w:p w14:paraId="1AEE3E7A">
      <w:pPr>
        <w:spacing w:line="500" w:lineRule="exact"/>
        <w:ind w:firstLine="560" w:firstLineChars="200"/>
        <w:outlineLvl w:val="9"/>
        <w:rPr>
          <w:rFonts w:hint="eastAsia" w:ascii="仿宋" w:hAnsi="仿宋" w:eastAsia="仿宋" w:cs="仿宋"/>
          <w:color w:val="auto"/>
          <w:sz w:val="28"/>
          <w:szCs w:val="28"/>
          <w:highlight w:val="none"/>
          <w:lang w:val="en-US" w:eastAsia="zh-CN"/>
        </w:rPr>
      </w:pPr>
      <w:r>
        <w:rPr>
          <w:rFonts w:hint="eastAsia" w:ascii="仿宋" w:hAnsi="仿宋" w:eastAsia="仿宋"/>
          <w:color w:val="auto"/>
          <w:sz w:val="28"/>
          <w:szCs w:val="28"/>
          <w:highlight w:val="none"/>
          <w:lang w:val="en-US" w:eastAsia="zh-CN"/>
        </w:rPr>
        <w:t>5.垃圾中转站应有专人管理，管理员、操作员必须经过安全、操作等相关的职业培训，持证上岗，</w:t>
      </w:r>
      <w:r>
        <w:rPr>
          <w:rFonts w:hint="eastAsia" w:ascii="仿宋" w:hAnsi="仿宋" w:eastAsia="仿宋" w:cs="仿宋"/>
          <w:color w:val="auto"/>
          <w:sz w:val="28"/>
          <w:szCs w:val="28"/>
          <w:highlight w:val="none"/>
        </w:rPr>
        <w:t>必须专门服务于本</w:t>
      </w:r>
      <w:r>
        <w:rPr>
          <w:rFonts w:hint="eastAsia" w:ascii="仿宋" w:hAnsi="仿宋" w:eastAsia="仿宋" w:cs="仿宋"/>
          <w:color w:val="auto"/>
          <w:sz w:val="28"/>
          <w:szCs w:val="28"/>
          <w:highlight w:val="none"/>
          <w:lang w:val="en-US" w:eastAsia="zh-CN"/>
        </w:rPr>
        <w:t>项目且</w:t>
      </w:r>
      <w:r>
        <w:rPr>
          <w:rFonts w:hint="eastAsia" w:ascii="仿宋" w:hAnsi="仿宋" w:eastAsia="仿宋" w:cs="仿宋"/>
          <w:color w:val="auto"/>
          <w:sz w:val="28"/>
          <w:szCs w:val="28"/>
          <w:highlight w:val="none"/>
        </w:rPr>
        <w:t>不得</w:t>
      </w:r>
      <w:r>
        <w:rPr>
          <w:rFonts w:hint="eastAsia" w:ascii="仿宋" w:hAnsi="仿宋" w:eastAsia="仿宋" w:cs="仿宋"/>
          <w:color w:val="auto"/>
          <w:sz w:val="28"/>
          <w:szCs w:val="28"/>
          <w:highlight w:val="none"/>
          <w:lang w:val="en-US" w:eastAsia="zh-CN"/>
        </w:rPr>
        <w:t>随意</w:t>
      </w:r>
      <w:r>
        <w:rPr>
          <w:rFonts w:hint="eastAsia" w:ascii="仿宋" w:hAnsi="仿宋" w:eastAsia="仿宋" w:cs="仿宋"/>
          <w:color w:val="auto"/>
          <w:sz w:val="28"/>
          <w:szCs w:val="28"/>
          <w:highlight w:val="none"/>
        </w:rPr>
        <w:t>更换。</w:t>
      </w:r>
    </w:p>
    <w:p w14:paraId="74061F9C">
      <w:pPr>
        <w:spacing w:line="500" w:lineRule="exact"/>
        <w:ind w:firstLine="560" w:firstLineChars="200"/>
        <w:outlineLvl w:val="9"/>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6.不得随意改变中转站内所有设施设备的使用功能，不允许堆放私人杂物，站内物品、工具、操作台应有序整洁，保持干净，无污物，码放要整齐，不影响观瞻，不影响车辆进出及操作。</w:t>
      </w:r>
    </w:p>
    <w:p w14:paraId="73728CE7">
      <w:pPr>
        <w:spacing w:line="500" w:lineRule="exact"/>
        <w:ind w:firstLine="560" w:firstLineChars="200"/>
        <w:outlineLvl w:val="9"/>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7.如进行垃圾分类，分拣人员应佩戴胸卡上岗，分拣出来的物品按指定地点码放整齐，不得乱堆乱放，中转站管理人员必须对分拣人员加强管理。</w:t>
      </w:r>
    </w:p>
    <w:p w14:paraId="6AB6BC2C">
      <w:pPr>
        <w:spacing w:line="500" w:lineRule="exact"/>
        <w:ind w:firstLine="560" w:firstLineChars="200"/>
        <w:outlineLvl w:val="9"/>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8.所有垃圾贮存设备应加盖封闭。垃圾收集车、运输车禁止发生跑、冒、滴、漏等现象，应在中转站内卸清全部垃圾。</w:t>
      </w:r>
    </w:p>
    <w:p w14:paraId="3DD51BEC">
      <w:pPr>
        <w:spacing w:line="500" w:lineRule="exact"/>
        <w:ind w:firstLine="560" w:firstLineChars="200"/>
        <w:outlineLvl w:val="9"/>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9.在垃圾卸料、压缩过程中，应启动空气净化系统除臭降尘，确保站内外的空气清新。垃圾转运车辆作业时应控制噪音扰民。</w:t>
      </w:r>
    </w:p>
    <w:p w14:paraId="55DA4363">
      <w:pPr>
        <w:spacing w:line="500" w:lineRule="exact"/>
        <w:ind w:firstLine="560" w:firstLineChars="200"/>
        <w:outlineLvl w:val="9"/>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10.装载垃圾时打开排污水阀，离站前检查污水阀是否关闭复位，并保证垃圾箱密封，确保运输途中不发生滴漏、满溢、抛撒。</w:t>
      </w:r>
    </w:p>
    <w:p w14:paraId="6B07A88C">
      <w:pPr>
        <w:spacing w:line="500" w:lineRule="exact"/>
        <w:ind w:firstLine="560" w:firstLineChars="200"/>
        <w:outlineLvl w:val="9"/>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11.垃圾箱装车过程中箱体离开地面时要对箱体进行清洗，垃圾箱出站后必须对站内进行清洗。</w:t>
      </w:r>
    </w:p>
    <w:p w14:paraId="38992BBB">
      <w:pPr>
        <w:spacing w:line="500" w:lineRule="exact"/>
        <w:ind w:firstLine="560" w:firstLineChars="200"/>
        <w:outlineLvl w:val="9"/>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12.集装箱后门要求扣好后钩，上盖一定要盖严，不得有污物及挂物。集装箱要整洁完好，无损坏，定期油饰，遇有重大活动可增加油饰次数。</w:t>
      </w:r>
    </w:p>
    <w:p w14:paraId="086A9646">
      <w:pPr>
        <w:spacing w:line="500" w:lineRule="exact"/>
        <w:ind w:firstLine="560" w:firstLineChars="200"/>
        <w:outlineLvl w:val="9"/>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13.转运作业场地和道路每次作业完毕后，应对设备箱体和水槽进行清掏，做到槽内无垃圾、无积水、无蛆、下水通畅；对站内的卫生进行清扫冲洗，设施设备全方位清洗干净，摆放整齐。地面要用水冲刷尘土，无积水。</w:t>
      </w:r>
    </w:p>
    <w:p w14:paraId="4D1D7F11">
      <w:pPr>
        <w:spacing w:line="500" w:lineRule="exact"/>
        <w:ind w:firstLine="560" w:firstLineChars="200"/>
        <w:outlineLvl w:val="9"/>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14.站内垃圾转运设施、设备应干净、整洁，无积垢、无锈渍，无吊挂垃圾。对转运设施定期保养，及时维护维修，各支点部位每次清除干净，润滑到位，确保设备正常运行。</w:t>
      </w:r>
    </w:p>
    <w:p w14:paraId="2BBA4716">
      <w:pPr>
        <w:spacing w:line="500" w:lineRule="exact"/>
        <w:ind w:firstLine="560" w:firstLineChars="200"/>
        <w:outlineLvl w:val="9"/>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15.蚊蝇滋生季节，应每天喷灭蚊灭蝇药物，在可视范围内，基本无蚊蝇。</w:t>
      </w:r>
    </w:p>
    <w:p w14:paraId="7974BEA4">
      <w:pPr>
        <w:spacing w:line="500" w:lineRule="exact"/>
        <w:ind w:firstLine="560" w:firstLineChars="200"/>
        <w:outlineLvl w:val="9"/>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16.收集站和中转站禁止转运建筑垃圾，建筑垃圾严禁进站。</w:t>
      </w:r>
    </w:p>
    <w:p w14:paraId="1FC89DBB">
      <w:pPr>
        <w:spacing w:line="500" w:lineRule="exact"/>
        <w:ind w:firstLine="560" w:firstLineChars="200"/>
        <w:outlineLvl w:val="9"/>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17.如因垃圾站内任何问题与周围居民发生纠纷。一切由中标方自行处置。</w:t>
      </w:r>
    </w:p>
    <w:p w14:paraId="7BE7C231">
      <w:pPr>
        <w:spacing w:line="500" w:lineRule="exact"/>
        <w:ind w:firstLine="281" w:firstLineChars="100"/>
        <w:outlineLvl w:val="9"/>
        <w:rPr>
          <w:rFonts w:hint="eastAsia"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（二）垃圾中转站服务要求</w:t>
      </w:r>
    </w:p>
    <w:p w14:paraId="539935BC">
      <w:pPr>
        <w:spacing w:line="500" w:lineRule="exact"/>
        <w:ind w:firstLine="560" w:firstLineChars="200"/>
        <w:outlineLvl w:val="9"/>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1.每天对服务范围内的垃圾清运至垃圾站并压缩成型，并联系待运；</w:t>
      </w:r>
    </w:p>
    <w:p w14:paraId="3A50CB56">
      <w:pPr>
        <w:spacing w:line="500" w:lineRule="exact"/>
        <w:ind w:firstLine="560" w:firstLineChars="200"/>
        <w:outlineLvl w:val="9"/>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2.垃圾清运车必须全封闭运输，清运工在垃圾清运过程中必须做到无抛洒水滴漏等现象；</w:t>
      </w:r>
    </w:p>
    <w:p w14:paraId="60F1299A">
      <w:pPr>
        <w:spacing w:line="500" w:lineRule="exact"/>
        <w:ind w:firstLine="560" w:firstLineChars="200"/>
        <w:outlineLvl w:val="9"/>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3.垃圾送达后，操作工要及时压缩，不得积压。如遇停电、机械故障，造成垃圾二次翻运由成交人负责转运；</w:t>
      </w:r>
    </w:p>
    <w:p w14:paraId="292752D5">
      <w:pPr>
        <w:spacing w:line="500" w:lineRule="exact"/>
        <w:ind w:firstLine="560" w:firstLineChars="200"/>
        <w:outlineLvl w:val="9"/>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4.垃圾中转站操作工必须保持工作场所清洁；</w:t>
      </w:r>
    </w:p>
    <w:p w14:paraId="0DA6F893">
      <w:pPr>
        <w:spacing w:line="500" w:lineRule="exact"/>
        <w:ind w:firstLine="560" w:firstLineChars="200"/>
        <w:outlineLvl w:val="9"/>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5.注意操作安全，规范操作程序；</w:t>
      </w:r>
    </w:p>
    <w:p w14:paraId="28CE6B95">
      <w:pPr>
        <w:spacing w:line="500" w:lineRule="exact"/>
        <w:ind w:firstLine="560" w:firstLineChars="200"/>
        <w:outlineLvl w:val="9"/>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6.注意清运过程中的交通安全，不开违章车：</w:t>
      </w:r>
    </w:p>
    <w:p w14:paraId="13EE52C1">
      <w:pPr>
        <w:spacing w:line="500" w:lineRule="exact"/>
        <w:ind w:firstLine="560" w:firstLineChars="200"/>
        <w:outlineLvl w:val="9"/>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7.所有员工仪表端庄、精神饱满、举止文明、礼貌待人接物，穿工作服挂牌上岗。垃圾中转站上班时间：5月-9月5:00-19:00；10月-12月、1月-4月6:00-17:00。做到值班室正常有人值班。</w:t>
      </w:r>
    </w:p>
    <w:p w14:paraId="3DA298FF">
      <w:pPr>
        <w:spacing w:line="500" w:lineRule="exact"/>
        <w:ind w:firstLine="281" w:firstLineChars="100"/>
        <w:outlineLvl w:val="9"/>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t>（三）人员、设备要求</w:t>
      </w:r>
    </w:p>
    <w:p w14:paraId="0157F145">
      <w:pPr>
        <w:spacing w:line="500" w:lineRule="exact"/>
        <w:ind w:firstLine="562" w:firstLineChars="200"/>
        <w:outlineLvl w:val="9"/>
        <w:rPr>
          <w:rFonts w:hint="eastAsia"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1.人员配备要求</w:t>
      </w:r>
    </w:p>
    <w:p w14:paraId="5B70F329">
      <w:pPr>
        <w:spacing w:line="500" w:lineRule="exact"/>
        <w:ind w:firstLine="560" w:firstLineChars="200"/>
        <w:outlineLvl w:val="9"/>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（1）响应供应商应建立健全完善的管理组织架构，配置各类车辆驾驶员5人、操作工5人，项目经理、现场管理及技术人员7人，合计配置总人数不少于17人。</w:t>
      </w:r>
    </w:p>
    <w:p w14:paraId="4D3904B1">
      <w:pPr>
        <w:pStyle w:val="14"/>
        <w:shd w:val="clear" w:color="auto" w:fill="FFFFFF"/>
        <w:spacing w:before="0" w:beforeAutospacing="0" w:after="0" w:afterAutospacing="0" w:line="500" w:lineRule="exact"/>
        <w:ind w:firstLine="567"/>
        <w:textAlignment w:val="baseline"/>
        <w:rPr>
          <w:rFonts w:hint="default" w:ascii="仿宋" w:hAnsi="仿宋" w:eastAsia="仿宋"/>
          <w:b/>
          <w:bCs/>
          <w:color w:val="auto"/>
          <w:sz w:val="28"/>
          <w:szCs w:val="28"/>
          <w:highlight w:val="none"/>
          <w:lang w:val="en-US" w:eastAsia="zh-CN"/>
        </w:rPr>
      </w:pPr>
      <w:r>
        <w:rPr>
          <w:rFonts w:hint="eastAsia" w:ascii="仿宋" w:hAnsi="仿宋" w:eastAsia="仿宋"/>
          <w:color w:val="auto"/>
          <w:sz w:val="28"/>
          <w:szCs w:val="28"/>
          <w:highlight w:val="none"/>
          <w:lang w:val="en-US" w:eastAsia="zh-CN"/>
        </w:rPr>
        <w:t>（2）响应供应商依法为符合条件的人员缴纳保险，工资不低于江苏省最低工资标准。</w:t>
      </w:r>
      <w:r>
        <w:rPr>
          <w:rFonts w:hint="eastAsia" w:ascii="仿宋" w:hAnsi="仿宋" w:eastAsia="仿宋"/>
          <w:b/>
          <w:bCs/>
          <w:color w:val="auto"/>
          <w:sz w:val="28"/>
          <w:szCs w:val="28"/>
          <w:highlight w:val="none"/>
          <w:lang w:val="en-US" w:eastAsia="zh-CN"/>
        </w:rPr>
        <w:t>须提供下列人员</w:t>
      </w:r>
      <w:r>
        <w:rPr>
          <w:rFonts w:hint="eastAsia" w:ascii="仿宋" w:hAnsi="仿宋" w:eastAsia="仿宋"/>
          <w:b/>
          <w:bCs/>
          <w:iCs/>
          <w:color w:val="auto"/>
          <w:sz w:val="28"/>
          <w:szCs w:val="28"/>
          <w:highlight w:val="none"/>
        </w:rPr>
        <w:t>响应文件提交截止日前最近1个月响应供应商为其缴纳社保的证明；新成立企业距响应文件提交截止日期不足30日的，可不提供缴纳社保的证明（以新办企业营业执照发放日期为准）。</w:t>
      </w:r>
      <w:r>
        <w:rPr>
          <w:rFonts w:hint="eastAsia" w:ascii="仿宋" w:hAnsi="仿宋" w:eastAsia="仿宋" w:cs="仿宋"/>
          <w:b/>
          <w:bCs/>
          <w:color w:val="auto"/>
          <w:sz w:val="28"/>
          <w:szCs w:val="28"/>
          <w:highlight w:val="none"/>
          <w:lang w:val="en-US" w:eastAsia="zh-CN"/>
        </w:rPr>
        <w:t>不提供视为无效响应。</w:t>
      </w:r>
    </w:p>
    <w:p w14:paraId="57DEA641">
      <w:pPr>
        <w:pStyle w:val="6"/>
        <w:spacing w:line="56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项目人员配备表</w:t>
      </w:r>
    </w:p>
    <w:tbl>
      <w:tblPr>
        <w:tblStyle w:val="16"/>
        <w:tblW w:w="9998" w:type="dxa"/>
        <w:tblInd w:w="-2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3235"/>
        <w:gridCol w:w="1426"/>
        <w:gridCol w:w="4510"/>
      </w:tblGrid>
      <w:tr w14:paraId="0911D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27" w:type="dxa"/>
            <w:noWrap/>
            <w:vAlign w:val="center"/>
          </w:tcPr>
          <w:p w14:paraId="3F0E1B71">
            <w:pPr>
              <w:widowControl/>
              <w:spacing w:line="50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序号</w:t>
            </w:r>
          </w:p>
        </w:tc>
        <w:tc>
          <w:tcPr>
            <w:tcW w:w="3235" w:type="dxa"/>
            <w:noWrap/>
            <w:vAlign w:val="center"/>
          </w:tcPr>
          <w:p w14:paraId="28EABC03">
            <w:pPr>
              <w:widowControl/>
              <w:spacing w:line="500" w:lineRule="exact"/>
              <w:jc w:val="center"/>
              <w:rPr>
                <w:rFonts w:hint="eastAsia" w:ascii="仿宋" w:hAnsi="仿宋" w:eastAsia="仿宋" w:cs="仿宋"/>
                <w:b/>
                <w:bCs/>
                <w:color w:val="auto"/>
                <w:sz w:val="24"/>
                <w:szCs w:val="24"/>
                <w:highlight w:val="none"/>
                <w:lang w:bidi="ar"/>
              </w:rPr>
            </w:pPr>
            <w:r>
              <w:rPr>
                <w:rFonts w:hint="eastAsia" w:ascii="仿宋" w:hAnsi="仿宋" w:eastAsia="仿宋" w:cs="仿宋"/>
                <w:b/>
                <w:bCs/>
                <w:color w:val="auto"/>
                <w:sz w:val="24"/>
                <w:szCs w:val="24"/>
                <w:highlight w:val="none"/>
                <w:lang w:bidi="ar"/>
              </w:rPr>
              <w:t>岗位名称</w:t>
            </w:r>
          </w:p>
        </w:tc>
        <w:tc>
          <w:tcPr>
            <w:tcW w:w="1426" w:type="dxa"/>
            <w:noWrap/>
            <w:vAlign w:val="center"/>
          </w:tcPr>
          <w:p w14:paraId="6AF7CD48">
            <w:pPr>
              <w:widowControl/>
              <w:spacing w:line="50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人数</w:t>
            </w:r>
          </w:p>
        </w:tc>
        <w:tc>
          <w:tcPr>
            <w:tcW w:w="4510" w:type="dxa"/>
            <w:noWrap/>
            <w:vAlign w:val="center"/>
          </w:tcPr>
          <w:p w14:paraId="58326DAF">
            <w:pPr>
              <w:widowControl/>
              <w:spacing w:line="500" w:lineRule="exact"/>
              <w:jc w:val="center"/>
              <w:rPr>
                <w:rFonts w:hint="eastAsia" w:ascii="仿宋" w:hAnsi="仿宋" w:eastAsia="仿宋" w:cs="仿宋"/>
                <w:b/>
                <w:bCs/>
                <w:color w:val="auto"/>
                <w:sz w:val="24"/>
                <w:szCs w:val="24"/>
                <w:highlight w:val="none"/>
                <w:lang w:bidi="ar"/>
              </w:rPr>
            </w:pPr>
            <w:r>
              <w:rPr>
                <w:rFonts w:hint="eastAsia" w:ascii="仿宋" w:hAnsi="仿宋" w:eastAsia="仿宋" w:cs="仿宋"/>
                <w:b/>
                <w:bCs/>
                <w:color w:val="auto"/>
                <w:sz w:val="24"/>
                <w:szCs w:val="24"/>
                <w:highlight w:val="none"/>
                <w:lang w:bidi="ar"/>
              </w:rPr>
              <w:t>备注</w:t>
            </w:r>
          </w:p>
        </w:tc>
      </w:tr>
      <w:tr w14:paraId="34322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827" w:type="dxa"/>
            <w:shd w:val="clear" w:color="auto" w:fill="auto"/>
            <w:noWrap/>
            <w:vAlign w:val="center"/>
          </w:tcPr>
          <w:p w14:paraId="02BAFEE6">
            <w:pPr>
              <w:widowControl/>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1</w:t>
            </w:r>
          </w:p>
        </w:tc>
        <w:tc>
          <w:tcPr>
            <w:tcW w:w="3235" w:type="dxa"/>
            <w:shd w:val="clear" w:color="auto" w:fill="auto"/>
            <w:noWrap/>
            <w:vAlign w:val="center"/>
          </w:tcPr>
          <w:p w14:paraId="655D923F">
            <w:pPr>
              <w:widowControl/>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项目经理</w:t>
            </w:r>
          </w:p>
        </w:tc>
        <w:tc>
          <w:tcPr>
            <w:tcW w:w="1426" w:type="dxa"/>
            <w:shd w:val="clear" w:color="auto" w:fill="FFFFFF"/>
            <w:noWrap/>
            <w:vAlign w:val="center"/>
          </w:tcPr>
          <w:p w14:paraId="259BFB52">
            <w:pPr>
              <w:widowControl/>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1</w:t>
            </w:r>
          </w:p>
        </w:tc>
        <w:tc>
          <w:tcPr>
            <w:tcW w:w="4510" w:type="dxa"/>
            <w:vMerge w:val="restart"/>
            <w:shd w:val="clear" w:color="auto" w:fill="FFFFFF"/>
            <w:noWrap/>
            <w:vAlign w:val="center"/>
          </w:tcPr>
          <w:p w14:paraId="6002BD66">
            <w:pPr>
              <w:widowControl/>
              <w:spacing w:line="360" w:lineRule="atLeast"/>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具有较强的管理经验和组织能力，上岗前须详细了解作业范围、熟悉现场情况，制定相应的服务工作计划。</w:t>
            </w:r>
          </w:p>
        </w:tc>
      </w:tr>
      <w:tr w14:paraId="265C7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827" w:type="dxa"/>
            <w:shd w:val="clear" w:color="auto" w:fill="auto"/>
            <w:noWrap/>
            <w:vAlign w:val="center"/>
          </w:tcPr>
          <w:p w14:paraId="411B4898">
            <w:pPr>
              <w:widowControl/>
              <w:spacing w:line="360" w:lineRule="atLeast"/>
              <w:jc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2</w:t>
            </w:r>
          </w:p>
        </w:tc>
        <w:tc>
          <w:tcPr>
            <w:tcW w:w="3235" w:type="dxa"/>
            <w:shd w:val="clear" w:color="auto" w:fill="auto"/>
            <w:noWrap/>
            <w:vAlign w:val="center"/>
          </w:tcPr>
          <w:p w14:paraId="428B8010">
            <w:pPr>
              <w:widowControl/>
              <w:spacing w:line="360" w:lineRule="atLeast"/>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环境</w:t>
            </w:r>
            <w:r>
              <w:rPr>
                <w:rFonts w:hint="eastAsia" w:ascii="仿宋" w:hAnsi="仿宋" w:eastAsia="仿宋" w:cs="仿宋"/>
                <w:color w:val="auto"/>
                <w:sz w:val="24"/>
                <w:szCs w:val="24"/>
                <w:highlight w:val="none"/>
              </w:rPr>
              <w:t>工程师（中级）</w:t>
            </w:r>
          </w:p>
        </w:tc>
        <w:tc>
          <w:tcPr>
            <w:tcW w:w="1426" w:type="dxa"/>
            <w:shd w:val="clear" w:color="auto" w:fill="FFFFFF"/>
            <w:noWrap/>
            <w:vAlign w:val="center"/>
          </w:tcPr>
          <w:p w14:paraId="13C728DF">
            <w:pPr>
              <w:widowControl/>
              <w:spacing w:line="360" w:lineRule="atLeast"/>
              <w:jc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1</w:t>
            </w:r>
          </w:p>
        </w:tc>
        <w:tc>
          <w:tcPr>
            <w:tcW w:w="4510" w:type="dxa"/>
            <w:vMerge w:val="continue"/>
            <w:shd w:val="clear" w:color="auto" w:fill="FFFFFF"/>
            <w:noWrap/>
            <w:vAlign w:val="center"/>
          </w:tcPr>
          <w:p w14:paraId="27AFE2AB">
            <w:pPr>
              <w:widowControl/>
              <w:spacing w:line="360" w:lineRule="atLeast"/>
              <w:jc w:val="center"/>
              <w:rPr>
                <w:rFonts w:hint="eastAsia" w:ascii="仿宋" w:hAnsi="仿宋" w:eastAsia="仿宋" w:cs="仿宋"/>
                <w:color w:val="auto"/>
                <w:sz w:val="24"/>
                <w:szCs w:val="24"/>
                <w:highlight w:val="none"/>
                <w:lang w:bidi="ar"/>
              </w:rPr>
            </w:pPr>
          </w:p>
        </w:tc>
      </w:tr>
      <w:tr w14:paraId="76818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27" w:type="dxa"/>
            <w:shd w:val="clear" w:color="auto" w:fill="auto"/>
            <w:noWrap/>
            <w:vAlign w:val="center"/>
          </w:tcPr>
          <w:p w14:paraId="26B6D0AC">
            <w:pPr>
              <w:widowControl/>
              <w:spacing w:line="360" w:lineRule="atLeast"/>
              <w:jc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3</w:t>
            </w:r>
          </w:p>
        </w:tc>
        <w:tc>
          <w:tcPr>
            <w:tcW w:w="3235" w:type="dxa"/>
            <w:shd w:val="clear" w:color="auto" w:fill="auto"/>
            <w:noWrap/>
            <w:vAlign w:val="center"/>
          </w:tcPr>
          <w:p w14:paraId="35188725">
            <w:pPr>
              <w:widowControl/>
              <w:spacing w:line="360" w:lineRule="atLeast"/>
              <w:jc w:val="center"/>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lang w:val="en-US" w:eastAsia="zh-CN"/>
              </w:rPr>
              <w:t>污废水处理</w:t>
            </w:r>
            <w:r>
              <w:rPr>
                <w:rFonts w:hint="eastAsia" w:ascii="仿宋" w:hAnsi="仿宋" w:eastAsia="仿宋" w:cs="仿宋"/>
                <w:color w:val="auto"/>
                <w:sz w:val="24"/>
                <w:szCs w:val="24"/>
                <w:highlight w:val="none"/>
              </w:rPr>
              <w:t>人员</w:t>
            </w:r>
          </w:p>
        </w:tc>
        <w:tc>
          <w:tcPr>
            <w:tcW w:w="1426" w:type="dxa"/>
            <w:shd w:val="clear" w:color="auto" w:fill="FFFFFF"/>
            <w:noWrap/>
            <w:vAlign w:val="center"/>
          </w:tcPr>
          <w:p w14:paraId="1D8108D8">
            <w:pPr>
              <w:widowControl/>
              <w:spacing w:line="360" w:lineRule="atLeast"/>
              <w:jc w:val="center"/>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lang w:val="en-US" w:eastAsia="zh-CN" w:bidi="ar"/>
              </w:rPr>
              <w:t>1</w:t>
            </w:r>
          </w:p>
        </w:tc>
        <w:tc>
          <w:tcPr>
            <w:tcW w:w="4510" w:type="dxa"/>
            <w:vMerge w:val="continue"/>
            <w:shd w:val="clear" w:color="auto" w:fill="FFFFFF"/>
            <w:noWrap/>
            <w:vAlign w:val="center"/>
          </w:tcPr>
          <w:p w14:paraId="14D19414">
            <w:pPr>
              <w:widowControl/>
              <w:spacing w:line="360" w:lineRule="atLeast"/>
              <w:jc w:val="center"/>
              <w:rPr>
                <w:rFonts w:hint="eastAsia" w:ascii="仿宋" w:hAnsi="仿宋" w:eastAsia="仿宋" w:cs="仿宋"/>
                <w:color w:val="auto"/>
                <w:sz w:val="24"/>
                <w:szCs w:val="24"/>
                <w:highlight w:val="none"/>
                <w:lang w:bidi="ar"/>
              </w:rPr>
            </w:pPr>
          </w:p>
        </w:tc>
      </w:tr>
      <w:tr w14:paraId="2388A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827" w:type="dxa"/>
            <w:shd w:val="clear" w:color="auto" w:fill="auto"/>
            <w:noWrap/>
            <w:vAlign w:val="center"/>
          </w:tcPr>
          <w:p w14:paraId="11EC476D">
            <w:pPr>
              <w:widowControl/>
              <w:spacing w:line="360" w:lineRule="atLeas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bidi="ar"/>
              </w:rPr>
              <w:t>4</w:t>
            </w:r>
          </w:p>
        </w:tc>
        <w:tc>
          <w:tcPr>
            <w:tcW w:w="3235" w:type="dxa"/>
            <w:shd w:val="clear" w:color="auto" w:fill="auto"/>
            <w:noWrap w:val="0"/>
            <w:vAlign w:val="center"/>
          </w:tcPr>
          <w:p w14:paraId="487290B3">
            <w:pPr>
              <w:widowControl/>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现场管理员</w:t>
            </w:r>
            <w:r>
              <w:rPr>
                <w:rFonts w:hint="eastAsia" w:ascii="仿宋" w:hAnsi="仿宋" w:eastAsia="仿宋" w:cs="仿宋"/>
                <w:color w:val="auto"/>
                <w:sz w:val="24"/>
                <w:szCs w:val="24"/>
                <w:highlight w:val="none"/>
                <w:lang w:bidi="ar"/>
              </w:rPr>
              <w:t>（兼安全员）</w:t>
            </w:r>
          </w:p>
        </w:tc>
        <w:tc>
          <w:tcPr>
            <w:tcW w:w="1426" w:type="dxa"/>
            <w:shd w:val="clear" w:color="auto" w:fill="FFFFFF"/>
            <w:noWrap/>
            <w:vAlign w:val="center"/>
          </w:tcPr>
          <w:p w14:paraId="6F84E466">
            <w:pPr>
              <w:widowControl/>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1</w:t>
            </w:r>
          </w:p>
        </w:tc>
        <w:tc>
          <w:tcPr>
            <w:tcW w:w="4510" w:type="dxa"/>
            <w:vMerge w:val="continue"/>
            <w:shd w:val="clear" w:color="auto" w:fill="FFFFFF"/>
            <w:noWrap/>
            <w:vAlign w:val="center"/>
          </w:tcPr>
          <w:p w14:paraId="20A9AE2F">
            <w:pPr>
              <w:widowControl/>
              <w:spacing w:line="360" w:lineRule="atLeast"/>
              <w:jc w:val="center"/>
              <w:rPr>
                <w:rFonts w:hint="eastAsia" w:ascii="仿宋" w:hAnsi="仿宋" w:eastAsia="仿宋" w:cs="仿宋"/>
                <w:color w:val="auto"/>
                <w:sz w:val="24"/>
                <w:szCs w:val="24"/>
                <w:highlight w:val="none"/>
                <w:lang w:bidi="ar"/>
              </w:rPr>
            </w:pPr>
          </w:p>
        </w:tc>
      </w:tr>
      <w:tr w14:paraId="3BF5C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trPr>
        <w:tc>
          <w:tcPr>
            <w:tcW w:w="827" w:type="dxa"/>
            <w:noWrap/>
            <w:vAlign w:val="center"/>
          </w:tcPr>
          <w:p w14:paraId="0383F916">
            <w:pPr>
              <w:widowControl/>
              <w:spacing w:line="360" w:lineRule="atLeast"/>
              <w:jc w:val="center"/>
              <w:rPr>
                <w:rFonts w:hint="eastAsia" w:ascii="仿宋" w:hAnsi="仿宋" w:eastAsia="仿宋" w:cs="仿宋"/>
                <w:color w:val="auto"/>
                <w:sz w:val="24"/>
                <w:szCs w:val="24"/>
                <w:highlight w:val="none"/>
                <w:lang w:eastAsia="zh-CN" w:bidi="ar"/>
              </w:rPr>
            </w:pPr>
            <w:r>
              <w:rPr>
                <w:rFonts w:hint="eastAsia" w:ascii="仿宋" w:hAnsi="仿宋" w:eastAsia="仿宋" w:cs="仿宋"/>
                <w:color w:val="auto"/>
                <w:sz w:val="24"/>
                <w:szCs w:val="24"/>
                <w:highlight w:val="none"/>
                <w:lang w:val="en-US" w:eastAsia="zh-CN" w:bidi="ar"/>
              </w:rPr>
              <w:t>5</w:t>
            </w:r>
          </w:p>
        </w:tc>
        <w:tc>
          <w:tcPr>
            <w:tcW w:w="3235" w:type="dxa"/>
            <w:noWrap/>
            <w:vAlign w:val="center"/>
          </w:tcPr>
          <w:p w14:paraId="3A884D12">
            <w:pPr>
              <w:widowControl/>
              <w:spacing w:line="360" w:lineRule="atLeast"/>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信息化管理员</w:t>
            </w:r>
          </w:p>
        </w:tc>
        <w:tc>
          <w:tcPr>
            <w:tcW w:w="1426" w:type="dxa"/>
            <w:noWrap/>
            <w:vAlign w:val="center"/>
          </w:tcPr>
          <w:p w14:paraId="17EF9B8E">
            <w:pPr>
              <w:widowControl/>
              <w:spacing w:line="360" w:lineRule="atLeast"/>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1</w:t>
            </w:r>
          </w:p>
        </w:tc>
        <w:tc>
          <w:tcPr>
            <w:tcW w:w="4510" w:type="dxa"/>
            <w:noWrap/>
            <w:vAlign w:val="center"/>
          </w:tcPr>
          <w:p w14:paraId="5BAE63F5">
            <w:pPr>
              <w:widowControl/>
              <w:spacing w:line="360" w:lineRule="atLeast"/>
              <w:jc w:val="center"/>
              <w:rPr>
                <w:rFonts w:hint="eastAsia" w:ascii="仿宋" w:hAnsi="仿宋" w:eastAsia="仿宋" w:cs="仿宋"/>
                <w:b w:val="0"/>
                <w:bCs w:val="0"/>
                <w:color w:val="auto"/>
                <w:sz w:val="24"/>
                <w:szCs w:val="24"/>
                <w:highlight w:val="none"/>
                <w:lang w:bidi="ar"/>
              </w:rPr>
            </w:pPr>
            <w:r>
              <w:rPr>
                <w:rFonts w:hint="eastAsia" w:ascii="仿宋" w:hAnsi="仿宋" w:eastAsia="仿宋" w:cs="仿宋"/>
                <w:b w:val="0"/>
                <w:bCs w:val="0"/>
                <w:color w:val="auto"/>
                <w:sz w:val="24"/>
                <w:szCs w:val="24"/>
                <w:highlight w:val="none"/>
              </w:rPr>
              <w:t>建立每日清运台账</w:t>
            </w:r>
            <w:r>
              <w:rPr>
                <w:rFonts w:hint="eastAsia" w:ascii="仿宋" w:hAnsi="仿宋" w:eastAsia="仿宋" w:cs="仿宋"/>
                <w:b w:val="0"/>
                <w:bCs w:val="0"/>
                <w:color w:val="auto"/>
                <w:sz w:val="24"/>
                <w:szCs w:val="24"/>
                <w:highlight w:val="none"/>
                <w:lang w:eastAsia="zh-CN"/>
              </w:rPr>
              <w:t>（</w:t>
            </w:r>
            <w:bookmarkStart w:id="59" w:name="OLE_LINK24"/>
            <w:r>
              <w:rPr>
                <w:rFonts w:hint="eastAsia" w:ascii="仿宋" w:hAnsi="仿宋" w:eastAsia="仿宋" w:cs="仿宋"/>
                <w:b w:val="0"/>
                <w:bCs w:val="0"/>
                <w:color w:val="auto"/>
                <w:sz w:val="24"/>
                <w:szCs w:val="24"/>
                <w:highlight w:val="none"/>
              </w:rPr>
              <w:t>提供上月人员工资打卡、保险缴纳记录，每日清运吨位水印相机照片及所有车辆GPS轨迹记录，照片为站点出发照片、直运电厂接收过磅照片，直运芦沟压缩中心过磅明细，电厂接收票据</w:t>
            </w:r>
            <w:bookmarkEnd w:id="59"/>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，记录齐全，资料完整。</w:t>
            </w:r>
          </w:p>
        </w:tc>
      </w:tr>
      <w:tr w14:paraId="28E4A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827" w:type="dxa"/>
            <w:noWrap/>
            <w:vAlign w:val="center"/>
          </w:tcPr>
          <w:p w14:paraId="239977C2">
            <w:pPr>
              <w:widowControl/>
              <w:spacing w:line="360" w:lineRule="atLeast"/>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6</w:t>
            </w:r>
          </w:p>
        </w:tc>
        <w:tc>
          <w:tcPr>
            <w:tcW w:w="3235" w:type="dxa"/>
            <w:noWrap/>
            <w:vAlign w:val="center"/>
          </w:tcPr>
          <w:p w14:paraId="139CD0C0">
            <w:pPr>
              <w:widowControl/>
              <w:spacing w:line="360" w:lineRule="atLeast"/>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驾驶员</w:t>
            </w:r>
          </w:p>
        </w:tc>
        <w:tc>
          <w:tcPr>
            <w:tcW w:w="1426" w:type="dxa"/>
            <w:noWrap/>
            <w:vAlign w:val="center"/>
          </w:tcPr>
          <w:p w14:paraId="23BA7D04">
            <w:pPr>
              <w:widowControl/>
              <w:spacing w:line="360" w:lineRule="atLeast"/>
              <w:jc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5</w:t>
            </w:r>
          </w:p>
        </w:tc>
        <w:tc>
          <w:tcPr>
            <w:tcW w:w="4510" w:type="dxa"/>
            <w:noWrap/>
            <w:vAlign w:val="center"/>
          </w:tcPr>
          <w:p w14:paraId="6ED4F607">
            <w:pPr>
              <w:widowControl/>
              <w:spacing w:line="360" w:lineRule="atLeast"/>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
              </w:rPr>
              <w:t>包括</w:t>
            </w:r>
            <w:r>
              <w:rPr>
                <w:rFonts w:hint="eastAsia" w:ascii="仿宋" w:hAnsi="仿宋" w:eastAsia="仿宋" w:cs="仿宋"/>
                <w:b w:val="0"/>
                <w:bCs w:val="0"/>
                <w:color w:val="auto"/>
                <w:sz w:val="24"/>
                <w:szCs w:val="24"/>
                <w:highlight w:val="none"/>
              </w:rPr>
              <w:t>压缩式对接垃圾车</w:t>
            </w:r>
            <w:r>
              <w:rPr>
                <w:rFonts w:hint="eastAsia" w:ascii="仿宋" w:hAnsi="仿宋" w:eastAsia="仿宋" w:cs="仿宋"/>
                <w:b w:val="0"/>
                <w:bCs w:val="0"/>
                <w:color w:val="auto"/>
                <w:sz w:val="24"/>
                <w:szCs w:val="24"/>
                <w:highlight w:val="none"/>
                <w:lang w:val="en-US" w:eastAsia="zh-CN" w:bidi="ar"/>
              </w:rPr>
              <w:t>、</w:t>
            </w:r>
            <w:r>
              <w:rPr>
                <w:rFonts w:hint="eastAsia" w:ascii="仿宋" w:hAnsi="仿宋" w:eastAsia="仿宋" w:cs="仿宋"/>
                <w:b w:val="0"/>
                <w:bCs w:val="0"/>
                <w:color w:val="auto"/>
                <w:sz w:val="24"/>
                <w:szCs w:val="24"/>
                <w:highlight w:val="none"/>
              </w:rPr>
              <w:t>勾臂式垃圾车</w:t>
            </w:r>
            <w:r>
              <w:rPr>
                <w:rFonts w:hint="eastAsia" w:ascii="仿宋" w:hAnsi="仿宋" w:eastAsia="仿宋" w:cs="仿宋"/>
                <w:b w:val="0"/>
                <w:bCs w:val="0"/>
                <w:color w:val="auto"/>
                <w:sz w:val="24"/>
                <w:szCs w:val="24"/>
                <w:highlight w:val="none"/>
                <w:lang w:val="en-US" w:eastAsia="zh-CN" w:bidi="ar"/>
              </w:rPr>
              <w:t>、吸污车、装载机等车辆驾驶人员。</w:t>
            </w:r>
          </w:p>
        </w:tc>
      </w:tr>
      <w:tr w14:paraId="4D570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827" w:type="dxa"/>
            <w:noWrap/>
            <w:vAlign w:val="center"/>
          </w:tcPr>
          <w:p w14:paraId="0BBC3A52">
            <w:pPr>
              <w:widowControl/>
              <w:spacing w:line="360" w:lineRule="atLeast"/>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7</w:t>
            </w:r>
          </w:p>
        </w:tc>
        <w:tc>
          <w:tcPr>
            <w:tcW w:w="3235" w:type="dxa"/>
            <w:noWrap/>
            <w:vAlign w:val="center"/>
          </w:tcPr>
          <w:p w14:paraId="41684CD0">
            <w:pPr>
              <w:widowControl/>
              <w:spacing w:line="360" w:lineRule="atLeast"/>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操作工</w:t>
            </w:r>
          </w:p>
        </w:tc>
        <w:tc>
          <w:tcPr>
            <w:tcW w:w="1426" w:type="dxa"/>
            <w:noWrap/>
            <w:vAlign w:val="center"/>
          </w:tcPr>
          <w:p w14:paraId="050690F7">
            <w:pPr>
              <w:widowControl/>
              <w:spacing w:line="360" w:lineRule="atLeast"/>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5</w:t>
            </w:r>
          </w:p>
        </w:tc>
        <w:tc>
          <w:tcPr>
            <w:tcW w:w="4510" w:type="dxa"/>
            <w:noWrap/>
            <w:vAlign w:val="center"/>
          </w:tcPr>
          <w:p w14:paraId="35A51B56">
            <w:pPr>
              <w:widowControl/>
              <w:spacing w:line="360" w:lineRule="atLeast"/>
              <w:jc w:val="center"/>
              <w:rPr>
                <w:rFonts w:hint="default" w:ascii="仿宋" w:hAnsi="仿宋" w:eastAsia="仿宋" w:cs="仿宋"/>
                <w:b w:val="0"/>
                <w:bCs w:val="0"/>
                <w:color w:val="auto"/>
                <w:sz w:val="24"/>
                <w:szCs w:val="24"/>
                <w:highlight w:val="none"/>
                <w:lang w:val="en-US"/>
              </w:rPr>
            </w:pPr>
            <w:r>
              <w:rPr>
                <w:rFonts w:hint="eastAsia" w:ascii="仿宋" w:hAnsi="仿宋" w:eastAsia="仿宋" w:cs="仿宋"/>
                <w:b w:val="0"/>
                <w:bCs w:val="0"/>
                <w:color w:val="auto"/>
                <w:sz w:val="24"/>
                <w:szCs w:val="24"/>
                <w:highlight w:val="none"/>
                <w:lang w:val="en-US" w:eastAsia="zh-CN" w:bidi="ar"/>
              </w:rPr>
              <w:t>两个垃圾站内操作人员至少1人具备有限空间作业证</w:t>
            </w:r>
          </w:p>
        </w:tc>
      </w:tr>
      <w:tr w14:paraId="2E396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trPr>
        <w:tc>
          <w:tcPr>
            <w:tcW w:w="827" w:type="dxa"/>
            <w:noWrap/>
            <w:vAlign w:val="center"/>
          </w:tcPr>
          <w:p w14:paraId="2D341505">
            <w:pPr>
              <w:widowControl/>
              <w:spacing w:line="360" w:lineRule="atLeast"/>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8</w:t>
            </w:r>
          </w:p>
        </w:tc>
        <w:tc>
          <w:tcPr>
            <w:tcW w:w="3235" w:type="dxa"/>
            <w:noWrap/>
            <w:vAlign w:val="center"/>
          </w:tcPr>
          <w:p w14:paraId="41FD7C31">
            <w:pPr>
              <w:widowControl/>
              <w:spacing w:line="360" w:lineRule="atLeast"/>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值守人员</w:t>
            </w:r>
          </w:p>
        </w:tc>
        <w:tc>
          <w:tcPr>
            <w:tcW w:w="1426" w:type="dxa"/>
            <w:noWrap/>
            <w:vAlign w:val="center"/>
          </w:tcPr>
          <w:p w14:paraId="58CD91E5">
            <w:pPr>
              <w:widowControl/>
              <w:spacing w:line="360" w:lineRule="atLeast"/>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2</w:t>
            </w:r>
          </w:p>
        </w:tc>
        <w:tc>
          <w:tcPr>
            <w:tcW w:w="4510" w:type="dxa"/>
            <w:noWrap/>
            <w:vAlign w:val="center"/>
          </w:tcPr>
          <w:p w14:paraId="1F87F433">
            <w:pPr>
              <w:widowControl/>
              <w:spacing w:line="360" w:lineRule="atLeast"/>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负责</w:t>
            </w:r>
            <w:r>
              <w:rPr>
                <w:rFonts w:hint="eastAsia" w:ascii="仿宋" w:hAnsi="仿宋" w:eastAsia="仿宋" w:cs="仿宋"/>
                <w:b w:val="0"/>
                <w:bCs w:val="0"/>
                <w:color w:val="auto"/>
                <w:sz w:val="24"/>
                <w:szCs w:val="24"/>
                <w:highlight w:val="none"/>
                <w:lang w:val="en-US" w:eastAsia="zh-CN"/>
              </w:rPr>
              <w:t>2个</w:t>
            </w:r>
            <w:r>
              <w:rPr>
                <w:rFonts w:hint="eastAsia" w:ascii="仿宋" w:hAnsi="仿宋" w:eastAsia="仿宋" w:cs="仿宋"/>
                <w:b w:val="0"/>
                <w:bCs w:val="0"/>
                <w:color w:val="auto"/>
                <w:sz w:val="24"/>
                <w:szCs w:val="24"/>
                <w:highlight w:val="none"/>
              </w:rPr>
              <w:t>垃圾中转站</w:t>
            </w:r>
            <w:r>
              <w:rPr>
                <w:rFonts w:hint="eastAsia" w:ascii="仿宋" w:hAnsi="仿宋" w:eastAsia="仿宋" w:cs="仿宋"/>
                <w:b w:val="0"/>
                <w:bCs w:val="0"/>
                <w:color w:val="auto"/>
                <w:sz w:val="24"/>
                <w:szCs w:val="24"/>
                <w:highlight w:val="none"/>
                <w:lang w:val="en-US" w:eastAsia="zh-CN"/>
              </w:rPr>
              <w:t>非工作时间</w:t>
            </w:r>
            <w:r>
              <w:rPr>
                <w:rFonts w:hint="eastAsia" w:ascii="仿宋" w:hAnsi="仿宋" w:eastAsia="仿宋" w:cs="仿宋"/>
                <w:b w:val="0"/>
                <w:bCs w:val="0"/>
                <w:color w:val="auto"/>
                <w:sz w:val="24"/>
                <w:szCs w:val="24"/>
                <w:highlight w:val="none"/>
              </w:rPr>
              <w:t>安全值守，做好大门管控、人员车辆登记、站内巡查及防火防盗工作。发现异常及时上报，配合做好应急处置与值班记录。</w:t>
            </w:r>
          </w:p>
        </w:tc>
      </w:tr>
      <w:tr w14:paraId="3D459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4062" w:type="dxa"/>
            <w:gridSpan w:val="2"/>
            <w:noWrap/>
            <w:vAlign w:val="center"/>
          </w:tcPr>
          <w:p w14:paraId="7C0844EE">
            <w:pPr>
              <w:widowControl/>
              <w:spacing w:line="5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合计</w:t>
            </w:r>
          </w:p>
        </w:tc>
        <w:tc>
          <w:tcPr>
            <w:tcW w:w="1426" w:type="dxa"/>
            <w:noWrap/>
            <w:vAlign w:val="center"/>
          </w:tcPr>
          <w:p w14:paraId="16E2FA0A">
            <w:pPr>
              <w:widowControl/>
              <w:spacing w:line="500" w:lineRule="exact"/>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17</w:t>
            </w:r>
          </w:p>
        </w:tc>
        <w:tc>
          <w:tcPr>
            <w:tcW w:w="4510" w:type="dxa"/>
            <w:noWrap/>
            <w:vAlign w:val="center"/>
          </w:tcPr>
          <w:p w14:paraId="1CD467D5">
            <w:pPr>
              <w:widowControl/>
              <w:spacing w:line="360" w:lineRule="atLeast"/>
              <w:jc w:val="center"/>
              <w:rPr>
                <w:rFonts w:hint="eastAsia" w:ascii="仿宋" w:hAnsi="仿宋" w:eastAsia="仿宋" w:cs="仿宋"/>
                <w:color w:val="auto"/>
                <w:sz w:val="24"/>
                <w:szCs w:val="24"/>
                <w:highlight w:val="none"/>
                <w:lang w:bidi="ar"/>
              </w:rPr>
            </w:pPr>
          </w:p>
        </w:tc>
      </w:tr>
    </w:tbl>
    <w:p w14:paraId="6CF75944">
      <w:pPr>
        <w:pStyle w:val="33"/>
        <w:keepNext w:val="0"/>
        <w:keepLines w:val="0"/>
        <w:pageBreakBefore w:val="0"/>
        <w:widowControl w:val="0"/>
        <w:kinsoku/>
        <w:wordWrap/>
        <w:overflowPunct/>
        <w:topLinePunct w:val="0"/>
        <w:autoSpaceDE/>
        <w:autoSpaceDN/>
        <w:bidi w:val="0"/>
        <w:adjustRightInd/>
        <w:snapToGrid/>
        <w:spacing w:after="0" w:line="500" w:lineRule="exact"/>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备注：</w:t>
      </w:r>
    </w:p>
    <w:p w14:paraId="14E4BCF3">
      <w:pPr>
        <w:pStyle w:val="33"/>
        <w:keepNext w:val="0"/>
        <w:keepLines w:val="0"/>
        <w:pageBreakBefore w:val="0"/>
        <w:widowControl w:val="0"/>
        <w:kinsoku/>
        <w:wordWrap/>
        <w:overflowPunct/>
        <w:topLinePunct w:val="0"/>
        <w:autoSpaceDE/>
        <w:autoSpaceDN/>
        <w:bidi w:val="0"/>
        <w:adjustRightInd/>
        <w:snapToGrid/>
        <w:spacing w:after="0" w:line="500" w:lineRule="exact"/>
        <w:ind w:firstLine="562" w:firstLineChars="200"/>
        <w:jc w:val="left"/>
        <w:textAlignment w:val="auto"/>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①响应供应商</w:t>
      </w:r>
      <w:r>
        <w:rPr>
          <w:rFonts w:hint="eastAsia" w:ascii="仿宋" w:hAnsi="仿宋" w:eastAsia="仿宋" w:cs="仿宋"/>
          <w:b/>
          <w:bCs/>
          <w:color w:val="auto"/>
          <w:sz w:val="28"/>
          <w:szCs w:val="28"/>
          <w:highlight w:val="none"/>
        </w:rPr>
        <w:t>项目组所有人员均须符合行业作业与安全标准。须在项目服务期限内在项目所在地范围内驻点办公并设置停车场地，须做到采购人随叫随到。</w:t>
      </w:r>
      <w:r>
        <w:rPr>
          <w:rFonts w:hint="eastAsia" w:ascii="仿宋" w:hAnsi="仿宋" w:eastAsia="仿宋" w:cs="仿宋"/>
          <w:b/>
          <w:bCs/>
          <w:color w:val="auto"/>
          <w:sz w:val="28"/>
          <w:szCs w:val="28"/>
          <w:highlight w:val="none"/>
          <w:lang w:val="en-US" w:eastAsia="zh-CN"/>
        </w:rPr>
        <w:t>须提供承诺函（格式自拟），不提供视为无效响应。</w:t>
      </w:r>
    </w:p>
    <w:p w14:paraId="6113A73F">
      <w:pPr>
        <w:pStyle w:val="33"/>
        <w:keepNext w:val="0"/>
        <w:keepLines w:val="0"/>
        <w:pageBreakBefore w:val="0"/>
        <w:widowControl w:val="0"/>
        <w:kinsoku/>
        <w:wordWrap/>
        <w:overflowPunct/>
        <w:topLinePunct w:val="0"/>
        <w:autoSpaceDE/>
        <w:autoSpaceDN/>
        <w:bidi w:val="0"/>
        <w:adjustRightInd/>
        <w:snapToGrid/>
        <w:spacing w:after="0" w:line="500" w:lineRule="exact"/>
        <w:ind w:firstLine="552"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pacing w:val="-2"/>
          <w:sz w:val="28"/>
          <w:szCs w:val="28"/>
          <w:highlight w:val="none"/>
          <w:lang w:val="en-US" w:eastAsia="zh-CN"/>
        </w:rPr>
        <w:t>②</w:t>
      </w:r>
      <w:r>
        <w:rPr>
          <w:rFonts w:hint="eastAsia" w:ascii="仿宋" w:hAnsi="仿宋" w:eastAsia="仿宋" w:cs="仿宋"/>
          <w:color w:val="auto"/>
          <w:sz w:val="28"/>
          <w:szCs w:val="28"/>
          <w:highlight w:val="none"/>
          <w:lang w:val="en-US" w:eastAsia="zh-CN"/>
        </w:rPr>
        <w:t>响应供应商</w:t>
      </w:r>
      <w:r>
        <w:rPr>
          <w:rFonts w:hint="eastAsia" w:ascii="仿宋" w:hAnsi="仿宋" w:eastAsia="仿宋" w:cs="仿宋"/>
          <w:color w:val="auto"/>
          <w:spacing w:val="-2"/>
          <w:sz w:val="28"/>
          <w:szCs w:val="28"/>
          <w:highlight w:val="none"/>
          <w:lang w:val="en-US" w:eastAsia="zh-CN"/>
        </w:rPr>
        <w:t>须确保垃圾运输车辆及作业人员合规上路、安全运营。</w:t>
      </w:r>
      <w:r>
        <w:rPr>
          <w:rFonts w:hint="eastAsia" w:ascii="仿宋" w:hAnsi="仿宋" w:eastAsia="仿宋" w:cs="仿宋"/>
          <w:color w:val="auto"/>
          <w:sz w:val="28"/>
          <w:szCs w:val="28"/>
          <w:highlight w:val="none"/>
        </w:rPr>
        <w:t>专职驾驶人员必须持证（驾驶证）上岗，驾驶适证车辆。保证安全、文明驾驶，进站、装载、运输、倾倒等作业保证文明有序。严格遵守《</w:t>
      </w:r>
      <w:r>
        <w:rPr>
          <w:rFonts w:hint="eastAsia" w:ascii="仿宋" w:hAnsi="仿宋" w:eastAsia="仿宋" w:cs="仿宋"/>
          <w:color w:val="auto"/>
          <w:sz w:val="28"/>
          <w:szCs w:val="28"/>
          <w:highlight w:val="none"/>
          <w:lang w:eastAsia="zh-CN"/>
        </w:rPr>
        <w:t>中华人民共和国道路交通安全法</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及</w:t>
      </w:r>
      <w:r>
        <w:rPr>
          <w:rFonts w:hint="eastAsia" w:ascii="仿宋" w:hAnsi="仿宋" w:eastAsia="仿宋" w:cs="仿宋"/>
          <w:color w:val="auto"/>
          <w:sz w:val="28"/>
          <w:szCs w:val="28"/>
          <w:highlight w:val="none"/>
        </w:rPr>
        <w:t>操作规程，严禁开快车、病车、赌气车；严禁疲劳驾驶、酒后开车；在转运过程中应保持车辆号牌清晰，不得遮挡公司标识及车辆号牌；每天作业完成后应清洗干净按规定停放运输车辆；要自觉接受媒体及社会的监督。</w:t>
      </w:r>
    </w:p>
    <w:p w14:paraId="7A196759">
      <w:pPr>
        <w:pStyle w:val="33"/>
        <w:keepNext w:val="0"/>
        <w:keepLines w:val="0"/>
        <w:pageBreakBefore w:val="0"/>
        <w:widowControl w:val="0"/>
        <w:kinsoku/>
        <w:wordWrap/>
        <w:overflowPunct/>
        <w:topLinePunct w:val="0"/>
        <w:autoSpaceDE/>
        <w:autoSpaceDN/>
        <w:bidi w:val="0"/>
        <w:adjustRightInd/>
        <w:snapToGrid/>
        <w:spacing w:after="0" w:line="50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③</w:t>
      </w:r>
      <w:r>
        <w:rPr>
          <w:rFonts w:hint="eastAsia" w:ascii="仿宋" w:hAnsi="仿宋" w:eastAsia="仿宋" w:cs="仿宋"/>
          <w:color w:val="auto"/>
          <w:sz w:val="28"/>
          <w:szCs w:val="28"/>
          <w:highlight w:val="none"/>
        </w:rPr>
        <w:t>驾驶人员必须严格遵守各项规章制度，认真履行垃圾清运职责，听从采购人工作安排和垃圾清运调度，不得以任何理由拒绝采购人的要求。严格按照采购人的调度方案调运生活垃圾，</w:t>
      </w:r>
      <w:r>
        <w:rPr>
          <w:rFonts w:hint="eastAsia" w:ascii="仿宋" w:hAnsi="仿宋" w:eastAsia="仿宋" w:cs="仿宋"/>
          <w:color w:val="auto"/>
          <w:sz w:val="28"/>
          <w:szCs w:val="28"/>
          <w:highlight w:val="none"/>
          <w:lang w:eastAsia="zh-CN"/>
        </w:rPr>
        <w:t>保持通信畅通</w:t>
      </w:r>
      <w:r>
        <w:rPr>
          <w:rFonts w:hint="eastAsia" w:ascii="仿宋" w:hAnsi="仿宋" w:eastAsia="仿宋" w:cs="仿宋"/>
          <w:color w:val="auto"/>
          <w:sz w:val="28"/>
          <w:szCs w:val="28"/>
          <w:highlight w:val="none"/>
        </w:rPr>
        <w:t>，随时准备处理应急、突击任务，确保无积存生活垃圾。</w:t>
      </w:r>
    </w:p>
    <w:p w14:paraId="4DCFBFE3">
      <w:pPr>
        <w:pStyle w:val="5"/>
        <w:numPr>
          <w:ilvl w:val="0"/>
          <w:numId w:val="0"/>
        </w:numPr>
        <w:spacing w:line="360" w:lineRule="auto"/>
        <w:ind w:firstLine="482" w:firstLineChars="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lang w:eastAsia="zh-CN"/>
        </w:rPr>
        <w:t>车辆要求</w:t>
      </w:r>
    </w:p>
    <w:p w14:paraId="69454E56">
      <w:pPr>
        <w:pStyle w:val="14"/>
        <w:keepNext w:val="0"/>
        <w:keepLines w:val="0"/>
        <w:widowControl w:val="0"/>
        <w:suppressLineNumbers w:val="0"/>
        <w:spacing w:before="0" w:beforeAutospacing="0" w:after="0" w:afterAutospacing="0"/>
        <w:ind w:left="0" w:right="0"/>
        <w:jc w:val="center"/>
        <w:rPr>
          <w:rFonts w:hint="eastAsia"/>
          <w:color w:val="auto"/>
          <w:highlight w:val="none"/>
          <w:lang w:eastAsia="zh-CN"/>
        </w:rPr>
      </w:pPr>
      <w:r>
        <w:rPr>
          <w:rFonts w:hint="eastAsia" w:ascii="仿宋" w:hAnsi="仿宋" w:eastAsia="仿宋" w:cs="仿宋"/>
          <w:b/>
          <w:bCs/>
          <w:color w:val="auto"/>
          <w:sz w:val="28"/>
          <w:szCs w:val="28"/>
          <w:highlight w:val="none"/>
        </w:rPr>
        <w:t>设备设施最低配置</w:t>
      </w:r>
      <w:r>
        <w:rPr>
          <w:rFonts w:hint="default" w:ascii="仿宋_GB2312" w:hAnsi="Times New Roman" w:eastAsia="仿宋_GB2312" w:cs="仿宋_GB2312"/>
          <w:b/>
          <w:bCs/>
          <w:color w:val="auto"/>
          <w:sz w:val="28"/>
          <w:szCs w:val="28"/>
          <w:highlight w:val="none"/>
          <w:lang w:val="en-US" w:eastAsia="zh-CN" w:bidi="ar"/>
        </w:rPr>
        <w:t>一览表</w:t>
      </w:r>
    </w:p>
    <w:tbl>
      <w:tblPr>
        <w:tblStyle w:val="16"/>
        <w:tblW w:w="91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1047"/>
        <w:gridCol w:w="3543"/>
        <w:gridCol w:w="2070"/>
        <w:gridCol w:w="1219"/>
        <w:gridCol w:w="1238"/>
      </w:tblGrid>
      <w:tr w14:paraId="6DFA9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78"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1CD58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vertAlign w:val="baseline"/>
              </w:rPr>
            </w:pPr>
            <w:r>
              <w:rPr>
                <w:rFonts w:hint="eastAsia" w:ascii="仿宋" w:hAnsi="仿宋" w:eastAsia="仿宋" w:cs="仿宋"/>
                <w:color w:val="auto"/>
                <w:sz w:val="28"/>
                <w:szCs w:val="28"/>
                <w:highlight w:val="none"/>
                <w:vertAlign w:val="baseline"/>
                <w:lang w:val="en-US" w:eastAsia="zh-CN" w:bidi="ar"/>
              </w:rPr>
              <w:t>序号</w:t>
            </w:r>
          </w:p>
        </w:tc>
        <w:tc>
          <w:tcPr>
            <w:tcW w:w="35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CA6B7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vertAlign w:val="baseline"/>
              </w:rPr>
            </w:pPr>
            <w:r>
              <w:rPr>
                <w:rFonts w:hint="eastAsia" w:ascii="仿宋" w:hAnsi="仿宋" w:eastAsia="仿宋" w:cs="仿宋"/>
                <w:color w:val="auto"/>
                <w:sz w:val="28"/>
                <w:szCs w:val="28"/>
                <w:highlight w:val="none"/>
                <w:vertAlign w:val="baseline"/>
                <w:lang w:val="en-US" w:eastAsia="zh-CN" w:bidi="ar"/>
              </w:rPr>
              <w:t>设备名称</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BF61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vertAlign w:val="baseline"/>
              </w:rPr>
            </w:pPr>
            <w:r>
              <w:rPr>
                <w:rFonts w:hint="eastAsia" w:ascii="仿宋" w:hAnsi="仿宋" w:eastAsia="仿宋" w:cs="仿宋"/>
                <w:color w:val="auto"/>
                <w:sz w:val="28"/>
                <w:szCs w:val="28"/>
                <w:highlight w:val="none"/>
                <w:vertAlign w:val="baseline"/>
                <w:lang w:val="en-US" w:eastAsia="zh-CN" w:bidi="ar"/>
              </w:rPr>
              <w:t>规格型号</w:t>
            </w:r>
          </w:p>
        </w:tc>
        <w:tc>
          <w:tcPr>
            <w:tcW w:w="12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850D5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vertAlign w:val="baseline"/>
              </w:rPr>
            </w:pPr>
            <w:r>
              <w:rPr>
                <w:rFonts w:hint="eastAsia" w:ascii="仿宋" w:hAnsi="仿宋" w:eastAsia="仿宋" w:cs="仿宋"/>
                <w:color w:val="auto"/>
                <w:sz w:val="28"/>
                <w:szCs w:val="28"/>
                <w:highlight w:val="none"/>
                <w:vertAlign w:val="baseline"/>
                <w:lang w:val="en-US" w:eastAsia="zh-CN" w:bidi="ar"/>
              </w:rPr>
              <w:t>数量</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A3B20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vertAlign w:val="baseline"/>
              </w:rPr>
            </w:pPr>
            <w:r>
              <w:rPr>
                <w:rFonts w:hint="eastAsia" w:ascii="仿宋" w:hAnsi="仿宋" w:eastAsia="仿宋" w:cs="仿宋"/>
                <w:color w:val="auto"/>
                <w:sz w:val="28"/>
                <w:szCs w:val="28"/>
                <w:highlight w:val="none"/>
                <w:vertAlign w:val="baseline"/>
                <w:lang w:val="en-US" w:eastAsia="zh-CN" w:bidi="ar"/>
              </w:rPr>
              <w:t>单位</w:t>
            </w:r>
          </w:p>
        </w:tc>
      </w:tr>
      <w:tr w14:paraId="55B15A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949"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1F6C1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vertAlign w:val="baseline"/>
              </w:rPr>
            </w:pPr>
            <w:r>
              <w:rPr>
                <w:rFonts w:hint="eastAsia" w:ascii="仿宋" w:hAnsi="仿宋" w:eastAsia="仿宋" w:cs="仿宋"/>
                <w:color w:val="auto"/>
                <w:sz w:val="28"/>
                <w:szCs w:val="28"/>
                <w:highlight w:val="none"/>
                <w:vertAlign w:val="baseline"/>
                <w:lang w:val="en-US" w:eastAsia="zh-CN" w:bidi="ar"/>
              </w:rPr>
              <w:t>1</w:t>
            </w:r>
          </w:p>
        </w:tc>
        <w:tc>
          <w:tcPr>
            <w:tcW w:w="35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EB21B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vertAlign w:val="baseline"/>
              </w:rPr>
            </w:pPr>
            <w:r>
              <w:rPr>
                <w:rFonts w:hint="eastAsia" w:ascii="仿宋" w:hAnsi="仿宋" w:eastAsia="仿宋" w:cs="仿宋"/>
                <w:color w:val="auto"/>
                <w:sz w:val="28"/>
                <w:szCs w:val="28"/>
                <w:highlight w:val="none"/>
                <w:lang w:val="en-US" w:eastAsia="zh-CN" w:bidi="ar"/>
              </w:rPr>
              <w:t>重型特殊结构货车（垃圾后装压缩车）</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52B12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vertAlign w:val="baseline"/>
              </w:rPr>
            </w:pPr>
            <w:r>
              <w:rPr>
                <w:rFonts w:hint="eastAsia" w:ascii="仿宋" w:hAnsi="仿宋" w:eastAsia="仿宋" w:cs="仿宋"/>
                <w:color w:val="auto"/>
                <w:sz w:val="28"/>
                <w:szCs w:val="28"/>
                <w:highlight w:val="none"/>
                <w:lang w:val="en-US" w:eastAsia="zh-CN" w:bidi="ar"/>
              </w:rPr>
              <w:t>10000kg≥总质量</w:t>
            </w:r>
          </w:p>
        </w:tc>
        <w:tc>
          <w:tcPr>
            <w:tcW w:w="12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04CDF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vertAlign w:val="baseline"/>
              </w:rPr>
            </w:pPr>
            <w:r>
              <w:rPr>
                <w:rFonts w:hint="eastAsia" w:ascii="仿宋" w:hAnsi="仿宋" w:eastAsia="仿宋" w:cs="仿宋"/>
                <w:color w:val="auto"/>
                <w:sz w:val="28"/>
                <w:szCs w:val="28"/>
                <w:highlight w:val="none"/>
                <w:vertAlign w:val="baseline"/>
                <w:lang w:val="en-US" w:eastAsia="zh-CN" w:bidi="ar"/>
              </w:rPr>
              <w:t>2</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EB3C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vertAlign w:val="baseline"/>
              </w:rPr>
            </w:pPr>
            <w:r>
              <w:rPr>
                <w:rFonts w:hint="eastAsia" w:ascii="仿宋" w:hAnsi="仿宋" w:eastAsia="仿宋" w:cs="仿宋"/>
                <w:color w:val="auto"/>
                <w:sz w:val="28"/>
                <w:szCs w:val="28"/>
                <w:highlight w:val="none"/>
                <w:vertAlign w:val="baseline"/>
                <w:lang w:val="en-US" w:eastAsia="zh-CN" w:bidi="ar"/>
              </w:rPr>
              <w:t>辆</w:t>
            </w:r>
          </w:p>
        </w:tc>
      </w:tr>
      <w:tr w14:paraId="09524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78"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E821B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default" w:ascii="仿宋" w:hAnsi="仿宋" w:eastAsia="仿宋" w:cs="仿宋"/>
                <w:color w:val="auto"/>
                <w:sz w:val="28"/>
                <w:szCs w:val="28"/>
                <w:highlight w:val="none"/>
                <w:vertAlign w:val="baseline"/>
                <w:lang w:val="en-US" w:eastAsia="zh-CN" w:bidi="ar"/>
              </w:rPr>
            </w:pPr>
            <w:r>
              <w:rPr>
                <w:rFonts w:hint="eastAsia" w:ascii="仿宋" w:hAnsi="仿宋" w:eastAsia="仿宋" w:cs="仿宋"/>
                <w:color w:val="auto"/>
                <w:sz w:val="28"/>
                <w:szCs w:val="28"/>
                <w:highlight w:val="none"/>
                <w:vertAlign w:val="baseline"/>
                <w:lang w:val="en-US" w:eastAsia="zh-CN" w:bidi="ar"/>
              </w:rPr>
              <w:t>2</w:t>
            </w:r>
          </w:p>
        </w:tc>
        <w:tc>
          <w:tcPr>
            <w:tcW w:w="35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9714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装载机</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D7F4A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leftChars="0" w:right="0" w:rightChars="0"/>
              <w:jc w:val="center"/>
              <w:textAlignment w:val="auto"/>
              <w:rPr>
                <w:rFonts w:hint="default" w:ascii="仿宋" w:hAnsi="仿宋" w:eastAsia="仿宋" w:cs="仿宋"/>
                <w:i w:val="0"/>
                <w:iCs w:val="0"/>
                <w:color w:val="auto"/>
                <w:sz w:val="28"/>
                <w:szCs w:val="28"/>
                <w:highlight w:val="none"/>
                <w:vertAlign w:val="baseline"/>
                <w:lang w:val="en-US" w:eastAsia="zh-CN" w:bidi="ar"/>
              </w:rPr>
            </w:pPr>
            <w:r>
              <w:rPr>
                <w:rFonts w:hint="eastAsia" w:ascii="仿宋" w:hAnsi="仿宋" w:eastAsia="仿宋" w:cs="仿宋"/>
                <w:i w:val="0"/>
                <w:iCs w:val="0"/>
                <w:color w:val="auto"/>
                <w:sz w:val="28"/>
                <w:szCs w:val="28"/>
                <w:highlight w:val="none"/>
                <w:vertAlign w:val="baseline"/>
                <w:lang w:val="en-US" w:eastAsia="zh-CN" w:bidi="ar"/>
              </w:rPr>
              <w:t>/</w:t>
            </w:r>
          </w:p>
        </w:tc>
        <w:tc>
          <w:tcPr>
            <w:tcW w:w="12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1F22E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leftChars="0" w:right="0" w:rightChars="0"/>
              <w:jc w:val="center"/>
              <w:textAlignment w:val="auto"/>
              <w:rPr>
                <w:rFonts w:hint="eastAsia" w:ascii="仿宋" w:hAnsi="仿宋" w:eastAsia="仿宋" w:cs="仿宋"/>
                <w:color w:val="auto"/>
                <w:kern w:val="2"/>
                <w:sz w:val="28"/>
                <w:szCs w:val="28"/>
                <w:highlight w:val="none"/>
                <w:vertAlign w:val="baseline"/>
                <w:lang w:val="en-US" w:eastAsia="zh-CN" w:bidi="ar"/>
              </w:rPr>
            </w:pPr>
            <w:r>
              <w:rPr>
                <w:rFonts w:hint="eastAsia" w:ascii="仿宋" w:hAnsi="仿宋" w:eastAsia="仿宋" w:cs="仿宋"/>
                <w:color w:val="auto"/>
                <w:sz w:val="28"/>
                <w:szCs w:val="28"/>
                <w:highlight w:val="none"/>
                <w:vertAlign w:val="baseline"/>
                <w:lang w:val="en-US" w:eastAsia="zh-CN" w:bidi="ar"/>
              </w:rPr>
              <w:t>1</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3F8BA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leftChars="0" w:right="0" w:rightChars="0"/>
              <w:jc w:val="center"/>
              <w:textAlignment w:val="auto"/>
              <w:rPr>
                <w:rFonts w:hint="eastAsia" w:ascii="仿宋" w:hAnsi="仿宋" w:eastAsia="仿宋" w:cs="仿宋"/>
                <w:color w:val="auto"/>
                <w:kern w:val="2"/>
                <w:sz w:val="28"/>
                <w:szCs w:val="28"/>
                <w:highlight w:val="none"/>
                <w:vertAlign w:val="baseline"/>
                <w:lang w:val="en-US" w:eastAsia="zh-CN" w:bidi="ar"/>
              </w:rPr>
            </w:pPr>
            <w:r>
              <w:rPr>
                <w:rFonts w:hint="eastAsia" w:ascii="仿宋" w:hAnsi="仿宋" w:eastAsia="仿宋" w:cs="仿宋"/>
                <w:color w:val="auto"/>
                <w:sz w:val="28"/>
                <w:szCs w:val="28"/>
                <w:highlight w:val="none"/>
                <w:vertAlign w:val="baseline"/>
                <w:lang w:val="en-US" w:eastAsia="zh-CN" w:bidi="ar"/>
              </w:rPr>
              <w:t>辆</w:t>
            </w:r>
          </w:p>
        </w:tc>
      </w:tr>
      <w:tr w14:paraId="67815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86" w:hRule="atLeast"/>
          <w:jc w:val="center"/>
        </w:trPr>
        <w:tc>
          <w:tcPr>
            <w:tcW w:w="6660"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24C8E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leftChars="0" w:right="0" w:rightChars="0"/>
              <w:jc w:val="center"/>
              <w:textAlignment w:val="auto"/>
              <w:rPr>
                <w:rFonts w:hint="eastAsia" w:ascii="仿宋" w:hAnsi="仿宋" w:eastAsia="仿宋" w:cs="仿宋"/>
                <w:i w:val="0"/>
                <w:iCs w:val="0"/>
                <w:color w:val="auto"/>
                <w:sz w:val="28"/>
                <w:szCs w:val="28"/>
                <w:highlight w:val="none"/>
                <w:vertAlign w:val="baseline"/>
                <w:lang w:val="en-US" w:eastAsia="zh-CN" w:bidi="ar"/>
              </w:rPr>
            </w:pPr>
            <w:r>
              <w:rPr>
                <w:rFonts w:hint="eastAsia" w:ascii="仿宋" w:hAnsi="仿宋" w:eastAsia="仿宋" w:cs="仿宋"/>
                <w:color w:val="auto"/>
                <w:sz w:val="28"/>
                <w:szCs w:val="28"/>
                <w:highlight w:val="none"/>
                <w:vertAlign w:val="baseline"/>
                <w:lang w:val="en-US" w:eastAsia="zh-CN" w:bidi="ar"/>
              </w:rPr>
              <w:t>合计</w:t>
            </w:r>
          </w:p>
        </w:tc>
        <w:tc>
          <w:tcPr>
            <w:tcW w:w="12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F24AD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leftChars="0" w:right="0" w:rightChars="0"/>
              <w:jc w:val="center"/>
              <w:textAlignment w:val="auto"/>
              <w:rPr>
                <w:rFonts w:hint="default" w:ascii="仿宋" w:hAnsi="仿宋" w:eastAsia="仿宋" w:cs="仿宋"/>
                <w:color w:val="auto"/>
                <w:sz w:val="28"/>
                <w:szCs w:val="28"/>
                <w:highlight w:val="none"/>
                <w:vertAlign w:val="baseline"/>
                <w:lang w:val="en-US" w:eastAsia="zh-CN" w:bidi="ar"/>
              </w:rPr>
            </w:pPr>
            <w:r>
              <w:rPr>
                <w:rFonts w:hint="eastAsia" w:ascii="仿宋" w:hAnsi="仿宋" w:eastAsia="仿宋" w:cs="仿宋"/>
                <w:color w:val="auto"/>
                <w:sz w:val="28"/>
                <w:szCs w:val="28"/>
                <w:highlight w:val="none"/>
                <w:vertAlign w:val="baseline"/>
                <w:lang w:val="en-US" w:eastAsia="zh-CN" w:bidi="ar"/>
              </w:rPr>
              <w:t>3</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9DD11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leftChars="0" w:right="0" w:rightChars="0"/>
              <w:jc w:val="center"/>
              <w:textAlignment w:val="auto"/>
              <w:rPr>
                <w:rFonts w:hint="eastAsia" w:ascii="仿宋" w:hAnsi="仿宋" w:eastAsia="仿宋" w:cs="仿宋"/>
                <w:color w:val="auto"/>
                <w:sz w:val="28"/>
                <w:szCs w:val="28"/>
                <w:highlight w:val="none"/>
                <w:vertAlign w:val="baseline"/>
                <w:lang w:val="en-US" w:eastAsia="zh-CN" w:bidi="ar"/>
              </w:rPr>
            </w:pPr>
            <w:r>
              <w:rPr>
                <w:rFonts w:hint="eastAsia" w:ascii="仿宋" w:hAnsi="仿宋" w:eastAsia="仿宋" w:cs="仿宋"/>
                <w:color w:val="auto"/>
                <w:sz w:val="28"/>
                <w:szCs w:val="28"/>
                <w:highlight w:val="none"/>
                <w:vertAlign w:val="baseline"/>
                <w:lang w:val="en-US" w:eastAsia="zh-CN" w:bidi="ar"/>
              </w:rPr>
              <w:t>辆</w:t>
            </w:r>
          </w:p>
        </w:tc>
      </w:tr>
    </w:tbl>
    <w:p w14:paraId="1037DC99">
      <w:pPr>
        <w:pStyle w:val="5"/>
        <w:keepNext w:val="0"/>
        <w:keepLines w:val="0"/>
        <w:pageBreakBefore w:val="0"/>
        <w:widowControl w:val="0"/>
        <w:kinsoku/>
        <w:wordWrap/>
        <w:overflowPunct/>
        <w:topLinePunct w:val="0"/>
        <w:autoSpaceDE/>
        <w:autoSpaceDN/>
        <w:bidi w:val="0"/>
        <w:adjustRightInd/>
        <w:snapToGrid w:val="0"/>
        <w:spacing w:line="500" w:lineRule="exact"/>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备注：</w:t>
      </w:r>
    </w:p>
    <w:p w14:paraId="5488399D">
      <w:pPr>
        <w:pStyle w:val="33"/>
        <w:keepNext w:val="0"/>
        <w:keepLines w:val="0"/>
        <w:pageBreakBefore w:val="0"/>
        <w:widowControl w:val="0"/>
        <w:kinsoku/>
        <w:wordWrap/>
        <w:overflowPunct/>
        <w:topLinePunct w:val="0"/>
        <w:autoSpaceDE/>
        <w:autoSpaceDN/>
        <w:bidi w:val="0"/>
        <w:adjustRightInd/>
        <w:snapToGrid/>
        <w:spacing w:after="0" w:line="500" w:lineRule="exact"/>
        <w:ind w:firstLine="562" w:firstLineChars="200"/>
        <w:jc w:val="left"/>
        <w:textAlignment w:val="auto"/>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1.响应供应商</w:t>
      </w:r>
      <w:r>
        <w:rPr>
          <w:rFonts w:hint="eastAsia" w:ascii="仿宋" w:hAnsi="仿宋" w:eastAsia="仿宋" w:cs="仿宋"/>
          <w:b/>
          <w:bCs/>
          <w:color w:val="auto"/>
          <w:sz w:val="28"/>
          <w:szCs w:val="28"/>
          <w:highlight w:val="none"/>
          <w:lang w:eastAsia="zh-CN"/>
        </w:rPr>
        <w:t>至少须常规配备</w:t>
      </w:r>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lang w:eastAsia="zh-CN"/>
        </w:rPr>
        <w:t>辆总质量</w:t>
      </w:r>
      <w:r>
        <w:rPr>
          <w:rFonts w:hint="eastAsia" w:ascii="仿宋" w:hAnsi="仿宋" w:eastAsia="仿宋" w:cs="仿宋"/>
          <w:b/>
          <w:bCs/>
          <w:color w:val="auto"/>
          <w:sz w:val="28"/>
          <w:szCs w:val="28"/>
          <w:highlight w:val="none"/>
          <w:lang w:val="en-US" w:eastAsia="zh-CN"/>
        </w:rPr>
        <w:t>10000kg</w:t>
      </w:r>
      <w:r>
        <w:rPr>
          <w:rFonts w:hint="eastAsia" w:ascii="仿宋" w:hAnsi="仿宋" w:eastAsia="仿宋" w:cs="仿宋"/>
          <w:b/>
          <w:bCs/>
          <w:color w:val="auto"/>
          <w:sz w:val="28"/>
          <w:szCs w:val="28"/>
          <w:highlight w:val="none"/>
          <w:lang w:eastAsia="zh-CN"/>
        </w:rPr>
        <w:t>及以上吨位</w:t>
      </w:r>
      <w:r>
        <w:rPr>
          <w:rFonts w:hint="eastAsia" w:ascii="仿宋" w:hAnsi="仿宋" w:eastAsia="仿宋" w:cs="仿宋"/>
          <w:b/>
          <w:bCs/>
          <w:color w:val="auto"/>
          <w:sz w:val="28"/>
          <w:szCs w:val="28"/>
          <w:highlight w:val="none"/>
          <w:lang w:val="en-US" w:eastAsia="zh-CN"/>
        </w:rPr>
        <w:t>重型特殊结构货车（垃圾后装压缩车）</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1辆装载机，其中除装载机外</w:t>
      </w:r>
      <w:r>
        <w:rPr>
          <w:rFonts w:hint="eastAsia" w:ascii="仿宋" w:hAnsi="仿宋" w:eastAsia="仿宋" w:cs="仿宋"/>
          <w:b/>
          <w:bCs/>
          <w:color w:val="auto"/>
          <w:sz w:val="28"/>
          <w:szCs w:val="28"/>
          <w:highlight w:val="none"/>
          <w:lang w:eastAsia="zh-CN"/>
        </w:rPr>
        <w:t>每辆车需</w:t>
      </w:r>
      <w:r>
        <w:rPr>
          <w:rFonts w:hint="eastAsia" w:ascii="仿宋" w:hAnsi="仿宋" w:eastAsia="仿宋" w:cs="仿宋"/>
          <w:b/>
          <w:bCs/>
          <w:color w:val="auto"/>
          <w:sz w:val="28"/>
          <w:szCs w:val="28"/>
          <w:highlight w:val="none"/>
          <w:lang w:val="en-US" w:eastAsia="zh-CN"/>
        </w:rPr>
        <w:t>纳入智慧环卫管理平台</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能即时体现车辆运行轨迹</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须提供相应车辆有效登记证（登记日期须在项目开标之前）、行驶证、保险单据、购置发票、车辆带牌照的清晰照片。不提供或提供不全视为无效响应。</w:t>
      </w:r>
    </w:p>
    <w:p w14:paraId="516305C5">
      <w:pPr>
        <w:pStyle w:val="33"/>
        <w:keepNext w:val="0"/>
        <w:keepLines w:val="0"/>
        <w:pageBreakBefore w:val="0"/>
        <w:widowControl w:val="0"/>
        <w:kinsoku/>
        <w:wordWrap/>
        <w:overflowPunct/>
        <w:topLinePunct w:val="0"/>
        <w:autoSpaceDE/>
        <w:autoSpaceDN/>
        <w:bidi w:val="0"/>
        <w:adjustRightInd/>
        <w:snapToGrid/>
        <w:spacing w:after="0" w:line="500" w:lineRule="exact"/>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2.响应供应商</w:t>
      </w:r>
      <w:r>
        <w:rPr>
          <w:rFonts w:hint="eastAsia" w:ascii="仿宋" w:hAnsi="仿宋" w:eastAsia="仿宋" w:cs="仿宋"/>
          <w:color w:val="auto"/>
          <w:sz w:val="28"/>
          <w:szCs w:val="28"/>
          <w:highlight w:val="none"/>
          <w:lang w:eastAsia="zh-CN"/>
        </w:rPr>
        <w:t>提供的作业车辆须与本项目中转站设备配套装卸，</w:t>
      </w:r>
      <w:r>
        <w:rPr>
          <w:rFonts w:hint="eastAsia" w:ascii="仿宋" w:hAnsi="仿宋" w:eastAsia="仿宋" w:cs="仿宋"/>
          <w:color w:val="auto"/>
          <w:sz w:val="28"/>
          <w:szCs w:val="28"/>
          <w:highlight w:val="none"/>
          <w:lang w:val="en-US" w:eastAsia="zh-CN"/>
        </w:rPr>
        <w:t>响应供应商</w:t>
      </w:r>
      <w:r>
        <w:rPr>
          <w:rFonts w:hint="eastAsia" w:ascii="仿宋" w:hAnsi="仿宋" w:eastAsia="仿宋" w:cs="仿宋"/>
          <w:color w:val="auto"/>
          <w:sz w:val="28"/>
          <w:szCs w:val="28"/>
          <w:highlight w:val="none"/>
          <w:lang w:eastAsia="zh-CN"/>
        </w:rPr>
        <w:t>自行踏勘现场现有设备情况后确认并选择好车型</w:t>
      </w: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lang w:eastAsia="zh-CN"/>
        </w:rPr>
        <w:t>，如</w:t>
      </w:r>
      <w:r>
        <w:rPr>
          <w:rFonts w:hint="eastAsia" w:ascii="仿宋" w:hAnsi="仿宋" w:eastAsia="仿宋" w:cs="仿宋"/>
          <w:color w:val="auto"/>
          <w:sz w:val="28"/>
          <w:szCs w:val="28"/>
          <w:highlight w:val="none"/>
          <w:lang w:val="en-US" w:eastAsia="zh-CN"/>
        </w:rPr>
        <w:t>成交</w:t>
      </w:r>
      <w:r>
        <w:rPr>
          <w:rFonts w:hint="eastAsia" w:ascii="仿宋" w:hAnsi="仿宋" w:eastAsia="仿宋" w:cs="仿宋"/>
          <w:color w:val="auto"/>
          <w:sz w:val="28"/>
          <w:szCs w:val="28"/>
          <w:highlight w:val="none"/>
          <w:lang w:eastAsia="zh-CN"/>
        </w:rPr>
        <w:t>后不能满足现场使用需求的，</w:t>
      </w:r>
      <w:r>
        <w:rPr>
          <w:rFonts w:hint="eastAsia" w:ascii="仿宋" w:hAnsi="仿宋" w:eastAsia="仿宋" w:cs="仿宋"/>
          <w:color w:val="auto"/>
          <w:sz w:val="28"/>
          <w:szCs w:val="28"/>
          <w:highlight w:val="none"/>
          <w:lang w:val="en-US" w:eastAsia="zh-CN"/>
        </w:rPr>
        <w:t>响应供应商</w:t>
      </w:r>
      <w:r>
        <w:rPr>
          <w:rFonts w:hint="eastAsia" w:ascii="仿宋" w:hAnsi="仿宋" w:eastAsia="仿宋" w:cs="仿宋"/>
          <w:color w:val="auto"/>
          <w:sz w:val="28"/>
          <w:szCs w:val="28"/>
          <w:highlight w:val="none"/>
          <w:lang w:eastAsia="zh-CN"/>
        </w:rPr>
        <w:t>自行承担相应的责任。</w:t>
      </w:r>
    </w:p>
    <w:p w14:paraId="362E0F73">
      <w:pPr>
        <w:pStyle w:val="33"/>
        <w:keepNext w:val="0"/>
        <w:keepLines w:val="0"/>
        <w:pageBreakBefore w:val="0"/>
        <w:widowControl w:val="0"/>
        <w:kinsoku/>
        <w:wordWrap/>
        <w:overflowPunct/>
        <w:topLinePunct w:val="0"/>
        <w:autoSpaceDE/>
        <w:autoSpaceDN/>
        <w:bidi w:val="0"/>
        <w:adjustRightInd/>
        <w:snapToGrid/>
        <w:spacing w:after="0" w:line="500" w:lineRule="exact"/>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作业车辆外观整洁，车容车况良好，密闭运输。所有车辆符合法律法规要求，并具有机动车辆保险手续，所产生费用及事故责任均由</w:t>
      </w:r>
      <w:r>
        <w:rPr>
          <w:rFonts w:hint="eastAsia" w:ascii="仿宋" w:hAnsi="仿宋" w:eastAsia="仿宋" w:cs="仿宋"/>
          <w:color w:val="auto"/>
          <w:sz w:val="28"/>
          <w:szCs w:val="28"/>
          <w:highlight w:val="none"/>
          <w:lang w:val="en-US" w:eastAsia="zh-CN"/>
        </w:rPr>
        <w:t>响应供应商</w:t>
      </w:r>
      <w:r>
        <w:rPr>
          <w:rFonts w:hint="eastAsia" w:ascii="仿宋" w:hAnsi="仿宋" w:eastAsia="仿宋" w:cs="仿宋"/>
          <w:color w:val="auto"/>
          <w:sz w:val="28"/>
          <w:szCs w:val="28"/>
          <w:highlight w:val="none"/>
          <w:lang w:eastAsia="zh-CN"/>
        </w:rPr>
        <w:t>自行承担。</w:t>
      </w:r>
    </w:p>
    <w:p w14:paraId="5728C85F">
      <w:pPr>
        <w:pStyle w:val="33"/>
        <w:keepNext w:val="0"/>
        <w:keepLines w:val="0"/>
        <w:pageBreakBefore w:val="0"/>
        <w:widowControl w:val="0"/>
        <w:kinsoku/>
        <w:wordWrap/>
        <w:overflowPunct/>
        <w:topLinePunct w:val="0"/>
        <w:autoSpaceDE/>
        <w:autoSpaceDN/>
        <w:bidi w:val="0"/>
        <w:adjustRightInd/>
        <w:snapToGrid/>
        <w:spacing w:after="0" w:line="500" w:lineRule="exact"/>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作业车辆应配置污水收集装置，确保完好、运行正常，并及时定点排放污水，杜绝滴漏、遗洒等污染路面现象，全面符合环保及相关管理要求，因违规产生的一切责任由</w:t>
      </w:r>
      <w:r>
        <w:rPr>
          <w:rFonts w:hint="eastAsia" w:ascii="仿宋" w:hAnsi="仿宋" w:eastAsia="仿宋" w:cs="仿宋"/>
          <w:color w:val="auto"/>
          <w:sz w:val="28"/>
          <w:szCs w:val="28"/>
          <w:highlight w:val="none"/>
          <w:lang w:val="en-US" w:eastAsia="zh-CN"/>
        </w:rPr>
        <w:t>响应供应商</w:t>
      </w:r>
      <w:r>
        <w:rPr>
          <w:rFonts w:hint="eastAsia" w:ascii="仿宋" w:hAnsi="仿宋" w:eastAsia="仿宋" w:cs="仿宋"/>
          <w:color w:val="auto"/>
          <w:sz w:val="28"/>
          <w:szCs w:val="28"/>
          <w:highlight w:val="none"/>
          <w:lang w:eastAsia="zh-CN"/>
        </w:rPr>
        <w:t>自行承担。</w:t>
      </w:r>
    </w:p>
    <w:p w14:paraId="6635FBCA">
      <w:pPr>
        <w:keepLines w:val="0"/>
        <w:pageBreakBefore w:val="0"/>
        <w:kinsoku/>
        <w:wordWrap/>
        <w:overflowPunct/>
        <w:topLinePunct w:val="0"/>
        <w:autoSpaceDE/>
        <w:autoSpaceDN/>
        <w:bidi w:val="0"/>
        <w:adjustRightInd/>
        <w:spacing w:line="500" w:lineRule="exact"/>
        <w:ind w:firstLine="281" w:firstLineChars="100"/>
        <w:textAlignment w:val="auto"/>
        <w:outlineLvl w:val="9"/>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t>（四）垃圾中转站考核标准</w:t>
      </w:r>
    </w:p>
    <w:p w14:paraId="2032804A">
      <w:pPr>
        <w:keepLines w:val="0"/>
        <w:pageBreakBefore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1.场地要求</w:t>
      </w:r>
    </w:p>
    <w:p w14:paraId="0A6B6622">
      <w:pPr>
        <w:pStyle w:val="5"/>
        <w:keepLines w:val="0"/>
        <w:pageBreakBefore w:val="0"/>
        <w:kinsoku/>
        <w:wordWrap/>
        <w:overflowPunct/>
        <w:topLinePunct w:val="0"/>
        <w:autoSpaceDE/>
        <w:autoSpaceDN/>
        <w:bidi w:val="0"/>
        <w:adjustRightInd/>
        <w:spacing w:line="500" w:lineRule="exact"/>
        <w:ind w:firstLine="48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临时收运点要设置合理，不影响车辆、行人通行，不压占盲道，与周围环境相协调。</w:t>
      </w:r>
      <w:r>
        <w:rPr>
          <w:rFonts w:hint="eastAsia" w:ascii="仿宋" w:hAnsi="仿宋" w:eastAsia="仿宋" w:cs="仿宋"/>
          <w:color w:val="auto"/>
          <w:sz w:val="28"/>
          <w:szCs w:val="28"/>
          <w:highlight w:val="none"/>
          <w:lang w:eastAsia="zh-CN"/>
        </w:rPr>
        <w:t>运输车辆在上下班高峰期，必须按照道路交通的管制要求，规范行驶，避让行人和非机动车。在中转站装载作业过程中，要小心驾驶，避免碰撞，减少噪声，避免作业扰民。</w:t>
      </w:r>
    </w:p>
    <w:p w14:paraId="1E024370">
      <w:pPr>
        <w:keepLines w:val="0"/>
        <w:pageBreakBefore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2.规范设置</w:t>
      </w:r>
    </w:p>
    <w:p w14:paraId="5B5A9534">
      <w:pPr>
        <w:keepLines w:val="0"/>
        <w:pageBreakBefore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（1）有条件的临时收运点应设置标志牌，公布收运点名称、管理单位、责任人及联系电话、作业时间，标志牌应保持完好、整洁。</w:t>
      </w:r>
    </w:p>
    <w:p w14:paraId="5BAF26A2">
      <w:pPr>
        <w:keepLines w:val="0"/>
        <w:pageBreakBefore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（2）应配备冲洗设施。</w:t>
      </w:r>
    </w:p>
    <w:p w14:paraId="7D065AD5">
      <w:pPr>
        <w:keepLines w:val="0"/>
        <w:pageBreakBefore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3.场地秩序</w:t>
      </w:r>
    </w:p>
    <w:p w14:paraId="47AA861E">
      <w:pPr>
        <w:keepLines w:val="0"/>
        <w:pageBreakBefore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地面应硬质化，作业车辆停放整齐，不得采用手写方式进行标识。不得将破损不堪的垃圾收集车和桶摆放在收运点。</w:t>
      </w:r>
    </w:p>
    <w:p w14:paraId="36AFD918">
      <w:pPr>
        <w:keepLines w:val="0"/>
        <w:pageBreakBefore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cs="Times New Roman"/>
          <w:color w:val="auto"/>
          <w:sz w:val="28"/>
          <w:szCs w:val="28"/>
          <w:highlight w:val="none"/>
          <w:lang w:val="en-US" w:eastAsia="zh-CN"/>
        </w:rPr>
      </w:pPr>
      <w:r>
        <w:rPr>
          <w:rFonts w:hint="eastAsia" w:ascii="仿宋" w:hAnsi="仿宋" w:eastAsia="仿宋" w:cs="仿宋"/>
          <w:color w:val="auto"/>
          <w:sz w:val="28"/>
          <w:szCs w:val="28"/>
          <w:highlight w:val="none"/>
          <w:lang w:val="en-US" w:eastAsia="zh-CN"/>
        </w:rPr>
        <w:t>4.</w:t>
      </w:r>
      <w:r>
        <w:rPr>
          <w:rFonts w:hint="eastAsia" w:ascii="仿宋" w:hAnsi="仿宋" w:eastAsia="仿宋" w:cs="Times New Roman"/>
          <w:color w:val="auto"/>
          <w:sz w:val="28"/>
          <w:szCs w:val="28"/>
          <w:highlight w:val="none"/>
          <w:lang w:val="en-US" w:eastAsia="zh-CN"/>
        </w:rPr>
        <w:t>分类存放</w:t>
      </w:r>
    </w:p>
    <w:p w14:paraId="3EE3E87B">
      <w:pPr>
        <w:keepLines w:val="0"/>
        <w:pageBreakBefore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接收生活垃圾以外的其他垃圾，要分类收集，分别存放。大件物品存放要有序摆放，尽快清运。收运容器外面要统一标识，分清类别，不得混装混运。</w:t>
      </w:r>
    </w:p>
    <w:p w14:paraId="51F330AA">
      <w:pPr>
        <w:keepLines w:val="0"/>
        <w:pageBreakBefore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5.收运容器卫生</w:t>
      </w:r>
    </w:p>
    <w:p w14:paraId="2635B935">
      <w:pPr>
        <w:keepLines w:val="0"/>
        <w:pageBreakBefore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收运容器表面无明显污渍、积尘。每天清洗，保证容器内壁无积尘、无堆积污垢、无蛆虫。垃圾容器完好，无破损。垃圾容器应密闭覆盖，确保无超高、超装垃圾，无裸露、暴露垃圾。</w:t>
      </w:r>
    </w:p>
    <w:p w14:paraId="5A3D8E0A">
      <w:pPr>
        <w:pStyle w:val="5"/>
        <w:keepLines w:val="0"/>
        <w:pageBreakBefore w:val="0"/>
        <w:kinsoku/>
        <w:wordWrap/>
        <w:overflowPunct/>
        <w:topLinePunct w:val="0"/>
        <w:autoSpaceDE/>
        <w:autoSpaceDN/>
        <w:bidi w:val="0"/>
        <w:adjustRightInd/>
        <w:spacing w:line="500" w:lineRule="exact"/>
        <w:ind w:firstLine="480"/>
        <w:textAlignment w:val="auto"/>
        <w:rPr>
          <w:rFonts w:hint="eastAsia" w:ascii="仿宋" w:hAnsi="仿宋" w:eastAsia="仿宋" w:cs="Times New Roman"/>
          <w:color w:val="auto"/>
          <w:sz w:val="28"/>
          <w:szCs w:val="28"/>
          <w:highlight w:val="none"/>
          <w:lang w:val="en-US" w:eastAsia="zh-CN"/>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lang w:eastAsia="zh-CN"/>
        </w:rPr>
        <w:t>清运车辆运输过程中，必须文明驾驶，无抛、冒、洒、滴、漏现象，如因作业不规范，从而引起公安、</w:t>
      </w:r>
      <w:r>
        <w:rPr>
          <w:rFonts w:hint="eastAsia" w:ascii="仿宋" w:hAnsi="仿宋" w:eastAsia="仿宋" w:cs="仿宋"/>
          <w:color w:val="auto"/>
          <w:sz w:val="28"/>
          <w:szCs w:val="28"/>
          <w:highlight w:val="none"/>
          <w:lang w:val="en-US" w:eastAsia="zh-CN"/>
        </w:rPr>
        <w:t>城管</w:t>
      </w:r>
      <w:r>
        <w:rPr>
          <w:rFonts w:hint="eastAsia" w:ascii="仿宋" w:hAnsi="仿宋" w:eastAsia="仿宋" w:cs="仿宋"/>
          <w:color w:val="auto"/>
          <w:sz w:val="28"/>
          <w:szCs w:val="28"/>
          <w:highlight w:val="none"/>
          <w:lang w:eastAsia="zh-CN"/>
        </w:rPr>
        <w:t>、环保等相关督查部门追责，投标单位自行处理。</w:t>
      </w:r>
    </w:p>
    <w:p w14:paraId="16A6A897">
      <w:pPr>
        <w:keepLines w:val="0"/>
        <w:pageBreakBefore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7.车容车貌</w:t>
      </w:r>
    </w:p>
    <w:p w14:paraId="3836D660">
      <w:pPr>
        <w:keepLines w:val="0"/>
        <w:pageBreakBefore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垃圾装运过程中垃圾运输车应保持整洁卫生，运输过程中垃圾覆盖封闭，无超高、超装、超载行为。车身干净，无外挂垃圾，沿途无垃圾漏撒与污水滴漏。</w:t>
      </w:r>
    </w:p>
    <w:p w14:paraId="29B088DF">
      <w:pPr>
        <w:keepLines w:val="0"/>
        <w:pageBreakBefore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8.禁止事项</w:t>
      </w:r>
    </w:p>
    <w:p w14:paraId="666B5125">
      <w:pPr>
        <w:keepLines w:val="0"/>
        <w:pageBreakBefore w:val="0"/>
        <w:kinsoku/>
        <w:wordWrap/>
        <w:overflowPunct/>
        <w:topLinePunct w:val="0"/>
        <w:autoSpaceDE/>
        <w:autoSpaceDN/>
        <w:bidi w:val="0"/>
        <w:adjustRightInd/>
        <w:spacing w:line="500" w:lineRule="exact"/>
        <w:ind w:firstLine="560" w:firstLineChars="200"/>
        <w:textAlignment w:val="auto"/>
        <w:outlineLvl w:val="9"/>
        <w:rPr>
          <w:rFonts w:hint="eastAsia"/>
          <w:color w:val="auto"/>
          <w:highlight w:val="none"/>
          <w:lang w:val="en-US" w:eastAsia="zh-CN"/>
        </w:rPr>
      </w:pPr>
      <w:r>
        <w:rPr>
          <w:rFonts w:hint="eastAsia" w:ascii="仿宋" w:hAnsi="仿宋" w:eastAsia="仿宋" w:cs="Times New Roman"/>
          <w:color w:val="auto"/>
          <w:sz w:val="28"/>
          <w:szCs w:val="28"/>
          <w:highlight w:val="none"/>
          <w:lang w:val="en-US" w:eastAsia="zh-CN"/>
        </w:rPr>
        <w:t>禁止使用五类车：摩托车、电动车、三轮车、非法残疾人机动轮椅车、改（拼）装报废车）收集运输垃圾。</w:t>
      </w:r>
    </w:p>
    <w:p w14:paraId="4631454E">
      <w:pPr>
        <w:keepLines w:val="0"/>
        <w:pageBreakBefore w:val="0"/>
        <w:kinsoku/>
        <w:wordWrap/>
        <w:overflowPunct/>
        <w:topLinePunct w:val="0"/>
        <w:autoSpaceDE/>
        <w:autoSpaceDN/>
        <w:bidi w:val="0"/>
        <w:adjustRightInd/>
        <w:spacing w:line="500" w:lineRule="exact"/>
        <w:ind w:firstLine="560" w:firstLineChars="200"/>
        <w:textAlignment w:val="auto"/>
        <w:outlineLvl w:val="1"/>
        <w:rPr>
          <w:rFonts w:ascii="黑体" w:hAnsi="黑体" w:eastAsia="黑体"/>
          <w:color w:val="auto"/>
          <w:sz w:val="28"/>
          <w:szCs w:val="28"/>
          <w:highlight w:val="none"/>
        </w:rPr>
      </w:pPr>
      <w:bookmarkStart w:id="60" w:name="_Toc31068"/>
      <w:r>
        <w:rPr>
          <w:rFonts w:hint="eastAsia" w:ascii="黑体" w:hAnsi="黑体" w:eastAsia="黑体"/>
          <w:color w:val="auto"/>
          <w:sz w:val="28"/>
          <w:szCs w:val="28"/>
          <w:highlight w:val="none"/>
        </w:rPr>
        <w:t>四、服务标准</w:t>
      </w:r>
      <w:bookmarkEnd w:id="60"/>
    </w:p>
    <w:p w14:paraId="3EDA0B16">
      <w:pPr>
        <w:keepLines w:val="0"/>
        <w:pageBreakBefore w:val="0"/>
        <w:kinsoku/>
        <w:wordWrap/>
        <w:overflowPunct/>
        <w:topLinePunct w:val="0"/>
        <w:autoSpaceDE/>
        <w:autoSpaceDN/>
        <w:bidi w:val="0"/>
        <w:adjustRightInd/>
        <w:spacing w:line="500" w:lineRule="exact"/>
        <w:ind w:firstLine="560" w:firstLineChars="200"/>
        <w:textAlignment w:val="auto"/>
        <w:rPr>
          <w:rFonts w:hint="eastAsia" w:ascii="仿宋" w:hAnsi="仿宋" w:eastAsia="仿宋"/>
          <w:bCs/>
          <w:color w:val="auto"/>
          <w:sz w:val="28"/>
          <w:szCs w:val="28"/>
          <w:highlight w:val="none"/>
        </w:rPr>
      </w:pPr>
      <w:bookmarkStart w:id="61" w:name="_Hlk40719223"/>
      <w:r>
        <w:rPr>
          <w:rFonts w:hint="eastAsia" w:ascii="仿宋" w:hAnsi="仿宋" w:eastAsia="仿宋"/>
          <w:bCs/>
          <w:color w:val="auto"/>
          <w:sz w:val="28"/>
          <w:szCs w:val="28"/>
          <w:highlight w:val="none"/>
        </w:rPr>
        <w:t>（一）响应供应商不能简单照搬</w:t>
      </w:r>
      <w:r>
        <w:rPr>
          <w:rFonts w:hint="eastAsia" w:ascii="仿宋" w:hAnsi="仿宋" w:eastAsia="仿宋"/>
          <w:bCs/>
          <w:color w:val="auto"/>
          <w:sz w:val="28"/>
          <w:szCs w:val="28"/>
          <w:highlight w:val="none"/>
          <w:lang w:eastAsia="zh-CN"/>
        </w:rPr>
        <w:t>磋商文件</w:t>
      </w:r>
      <w:r>
        <w:rPr>
          <w:rFonts w:hint="eastAsia" w:ascii="仿宋" w:hAnsi="仿宋" w:eastAsia="仿宋"/>
          <w:bCs/>
          <w:color w:val="auto"/>
          <w:sz w:val="28"/>
          <w:szCs w:val="28"/>
          <w:highlight w:val="none"/>
        </w:rPr>
        <w:t>提供的需求，必须按</w:t>
      </w:r>
      <w:r>
        <w:rPr>
          <w:rFonts w:hint="eastAsia" w:ascii="仿宋" w:hAnsi="仿宋" w:eastAsia="仿宋"/>
          <w:bCs/>
          <w:color w:val="auto"/>
          <w:sz w:val="28"/>
          <w:szCs w:val="28"/>
          <w:highlight w:val="none"/>
          <w:lang w:eastAsia="zh-CN"/>
        </w:rPr>
        <w:t>磋商文件</w:t>
      </w:r>
      <w:r>
        <w:rPr>
          <w:rFonts w:hint="eastAsia" w:ascii="仿宋" w:hAnsi="仿宋" w:eastAsia="仿宋"/>
          <w:bCs/>
          <w:color w:val="auto"/>
          <w:sz w:val="28"/>
          <w:szCs w:val="28"/>
          <w:highlight w:val="none"/>
        </w:rPr>
        <w:t>技术规格逐项作出实质性应答，如照搬照抄项目需求中的技术的，中标后成交人在同采购人签订合同和履约环节中不得提出异议，一切后果和损失由成交人承担。</w:t>
      </w:r>
    </w:p>
    <w:p w14:paraId="489AF75B">
      <w:pPr>
        <w:keepLines w:val="0"/>
        <w:pageBreakBefore w:val="0"/>
        <w:kinsoku/>
        <w:wordWrap/>
        <w:overflowPunct/>
        <w:topLinePunct w:val="0"/>
        <w:autoSpaceDE/>
        <w:autoSpaceDN/>
        <w:bidi w:val="0"/>
        <w:adjustRightInd/>
        <w:spacing w:line="500" w:lineRule="exact"/>
        <w:ind w:firstLine="560" w:firstLineChars="200"/>
        <w:textAlignment w:val="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w:t>
      </w:r>
      <w:r>
        <w:rPr>
          <w:rFonts w:hint="eastAsia" w:ascii="仿宋" w:hAnsi="仿宋" w:eastAsia="仿宋"/>
          <w:bCs/>
          <w:color w:val="auto"/>
          <w:sz w:val="28"/>
          <w:szCs w:val="28"/>
          <w:highlight w:val="none"/>
          <w:lang w:val="en-US" w:eastAsia="zh-CN"/>
        </w:rPr>
        <w:t>二</w:t>
      </w:r>
      <w:r>
        <w:rPr>
          <w:rFonts w:hint="eastAsia" w:ascii="仿宋" w:hAnsi="仿宋" w:eastAsia="仿宋"/>
          <w:bCs/>
          <w:color w:val="auto"/>
          <w:sz w:val="28"/>
          <w:szCs w:val="28"/>
          <w:highlight w:val="none"/>
        </w:rPr>
        <w:t>）成交人应采取必要的安全措施保证</w:t>
      </w:r>
      <w:r>
        <w:rPr>
          <w:rFonts w:hint="eastAsia" w:ascii="仿宋" w:hAnsi="仿宋" w:eastAsia="仿宋"/>
          <w:bCs/>
          <w:color w:val="auto"/>
          <w:sz w:val="28"/>
          <w:szCs w:val="28"/>
          <w:highlight w:val="none"/>
          <w:lang w:val="en-US" w:eastAsia="zh-CN"/>
        </w:rPr>
        <w:t>服务过程中的</w:t>
      </w:r>
      <w:r>
        <w:rPr>
          <w:rFonts w:hint="eastAsia" w:ascii="仿宋" w:hAnsi="仿宋" w:eastAsia="仿宋"/>
          <w:bCs/>
          <w:color w:val="auto"/>
          <w:sz w:val="28"/>
          <w:szCs w:val="28"/>
          <w:highlight w:val="none"/>
        </w:rPr>
        <w:t>的运输及安装的安全，并承担</w:t>
      </w:r>
      <w:r>
        <w:rPr>
          <w:rFonts w:hint="eastAsia" w:ascii="仿宋" w:hAnsi="仿宋" w:eastAsia="仿宋"/>
          <w:bCs/>
          <w:color w:val="auto"/>
          <w:sz w:val="28"/>
          <w:szCs w:val="28"/>
          <w:highlight w:val="none"/>
          <w:lang w:val="en-US" w:eastAsia="zh-CN"/>
        </w:rPr>
        <w:t>服务</w:t>
      </w:r>
      <w:r>
        <w:rPr>
          <w:rFonts w:hint="eastAsia" w:ascii="仿宋" w:hAnsi="仿宋" w:eastAsia="仿宋"/>
          <w:bCs/>
          <w:color w:val="auto"/>
          <w:sz w:val="28"/>
          <w:szCs w:val="28"/>
          <w:highlight w:val="none"/>
        </w:rPr>
        <w:t>过程中产生的风险。</w:t>
      </w:r>
    </w:p>
    <w:p w14:paraId="34FAC2F5">
      <w:pPr>
        <w:keepLines w:val="0"/>
        <w:pageBreakBefore w:val="0"/>
        <w:kinsoku/>
        <w:wordWrap/>
        <w:overflowPunct/>
        <w:topLinePunct w:val="0"/>
        <w:autoSpaceDE/>
        <w:autoSpaceDN/>
        <w:bidi w:val="0"/>
        <w:adjustRightInd/>
        <w:spacing w:line="500" w:lineRule="exact"/>
        <w:ind w:firstLine="560" w:firstLineChars="200"/>
        <w:textAlignment w:val="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w:t>
      </w:r>
      <w:r>
        <w:rPr>
          <w:rFonts w:hint="eastAsia" w:ascii="仿宋" w:hAnsi="仿宋" w:eastAsia="仿宋"/>
          <w:bCs/>
          <w:color w:val="auto"/>
          <w:sz w:val="28"/>
          <w:szCs w:val="28"/>
          <w:highlight w:val="none"/>
          <w:lang w:val="en-US" w:eastAsia="zh-CN"/>
        </w:rPr>
        <w:t>三</w:t>
      </w:r>
      <w:r>
        <w:rPr>
          <w:rFonts w:hint="eastAsia" w:ascii="仿宋" w:hAnsi="仿宋" w:eastAsia="仿宋"/>
          <w:bCs/>
          <w:color w:val="auto"/>
          <w:sz w:val="28"/>
          <w:szCs w:val="28"/>
          <w:highlight w:val="none"/>
        </w:rPr>
        <w:t>）所有成交产品的技术标准按国家标准执行，无国家标准的，按行业标准执行，无国家和行业标准的，按企业标准执行；但在采购文件中有特别要求的，按采购文件中规定的要求执行，并且符合相关法律、法规规定的要求。</w:t>
      </w:r>
    </w:p>
    <w:bookmarkEnd w:id="61"/>
    <w:p w14:paraId="6A833FA4">
      <w:pPr>
        <w:keepLines w:val="0"/>
        <w:pageBreakBefore w:val="0"/>
        <w:kinsoku/>
        <w:wordWrap/>
        <w:overflowPunct/>
        <w:topLinePunct w:val="0"/>
        <w:autoSpaceDE/>
        <w:autoSpaceDN/>
        <w:bidi w:val="0"/>
        <w:adjustRightInd/>
        <w:spacing w:line="500" w:lineRule="exact"/>
        <w:ind w:firstLine="560" w:firstLineChars="200"/>
        <w:textAlignment w:val="auto"/>
        <w:rPr>
          <w:rFonts w:ascii="仿宋" w:hAnsi="仿宋" w:eastAsia="仿宋"/>
          <w:color w:val="auto"/>
          <w:sz w:val="28"/>
          <w:szCs w:val="28"/>
          <w:highlight w:val="none"/>
        </w:rPr>
      </w:pPr>
      <w:r>
        <w:rPr>
          <w:rFonts w:hint="eastAsia" w:ascii="仿宋" w:hAnsi="仿宋" w:eastAsia="仿宋"/>
          <w:bCs/>
          <w:color w:val="auto"/>
          <w:sz w:val="28"/>
          <w:szCs w:val="28"/>
          <w:highlight w:val="none"/>
        </w:rPr>
        <w:t>（</w:t>
      </w:r>
      <w:r>
        <w:rPr>
          <w:rFonts w:hint="eastAsia" w:ascii="仿宋" w:hAnsi="仿宋" w:eastAsia="仿宋"/>
          <w:bCs/>
          <w:color w:val="auto"/>
          <w:sz w:val="28"/>
          <w:szCs w:val="28"/>
          <w:highlight w:val="none"/>
          <w:lang w:val="en-US" w:eastAsia="zh-CN"/>
        </w:rPr>
        <w:t>四</w:t>
      </w:r>
      <w:r>
        <w:rPr>
          <w:rFonts w:hint="eastAsia" w:ascii="仿宋" w:hAnsi="仿宋" w:eastAsia="仿宋"/>
          <w:bCs/>
          <w:color w:val="auto"/>
          <w:sz w:val="28"/>
          <w:szCs w:val="28"/>
          <w:highlight w:val="none"/>
        </w:rPr>
        <w:t>）在项目采购或实施过程中，如国家标准修改，应按照新国家标准实施；如本</w:t>
      </w:r>
      <w:r>
        <w:rPr>
          <w:rFonts w:hint="eastAsia" w:ascii="仿宋" w:hAnsi="仿宋" w:eastAsia="仿宋"/>
          <w:bCs/>
          <w:color w:val="auto"/>
          <w:sz w:val="28"/>
          <w:szCs w:val="28"/>
          <w:highlight w:val="none"/>
          <w:lang w:eastAsia="zh-CN"/>
        </w:rPr>
        <w:t>磋商文件</w:t>
      </w:r>
      <w:r>
        <w:rPr>
          <w:rFonts w:hint="eastAsia" w:ascii="仿宋" w:hAnsi="仿宋" w:eastAsia="仿宋"/>
          <w:bCs/>
          <w:color w:val="auto"/>
          <w:sz w:val="28"/>
          <w:szCs w:val="28"/>
          <w:highlight w:val="none"/>
        </w:rPr>
        <w:t>规定高于国家标准，无论新旧标准，均按本</w:t>
      </w:r>
      <w:r>
        <w:rPr>
          <w:rFonts w:hint="eastAsia" w:ascii="仿宋" w:hAnsi="仿宋" w:eastAsia="仿宋"/>
          <w:bCs/>
          <w:color w:val="auto"/>
          <w:sz w:val="28"/>
          <w:szCs w:val="28"/>
          <w:highlight w:val="none"/>
          <w:lang w:eastAsia="zh-CN"/>
        </w:rPr>
        <w:t>磋商文件</w:t>
      </w:r>
      <w:r>
        <w:rPr>
          <w:rFonts w:hint="eastAsia" w:ascii="仿宋" w:hAnsi="仿宋" w:eastAsia="仿宋"/>
          <w:bCs/>
          <w:color w:val="auto"/>
          <w:sz w:val="28"/>
          <w:szCs w:val="28"/>
          <w:highlight w:val="none"/>
        </w:rPr>
        <w:t>规定实施；如本</w:t>
      </w:r>
      <w:r>
        <w:rPr>
          <w:rFonts w:hint="eastAsia" w:ascii="仿宋" w:hAnsi="仿宋" w:eastAsia="仿宋"/>
          <w:bCs/>
          <w:color w:val="auto"/>
          <w:sz w:val="28"/>
          <w:szCs w:val="28"/>
          <w:highlight w:val="none"/>
          <w:lang w:eastAsia="zh-CN"/>
        </w:rPr>
        <w:t>磋商文件</w:t>
      </w:r>
      <w:r>
        <w:rPr>
          <w:rFonts w:hint="eastAsia" w:ascii="仿宋" w:hAnsi="仿宋" w:eastAsia="仿宋"/>
          <w:bCs/>
          <w:color w:val="auto"/>
          <w:sz w:val="28"/>
          <w:szCs w:val="28"/>
          <w:highlight w:val="none"/>
        </w:rPr>
        <w:t>规定低于国家标准，无论新旧标准，均按国家标准规定实施。如本</w:t>
      </w:r>
      <w:r>
        <w:rPr>
          <w:rFonts w:hint="eastAsia" w:ascii="仿宋" w:hAnsi="仿宋" w:eastAsia="仿宋"/>
          <w:bCs/>
          <w:color w:val="auto"/>
          <w:sz w:val="28"/>
          <w:szCs w:val="28"/>
          <w:highlight w:val="none"/>
          <w:lang w:eastAsia="zh-CN"/>
        </w:rPr>
        <w:t>磋商文件</w:t>
      </w:r>
      <w:r>
        <w:rPr>
          <w:rFonts w:hint="eastAsia" w:ascii="仿宋" w:hAnsi="仿宋" w:eastAsia="仿宋"/>
          <w:bCs/>
          <w:color w:val="auto"/>
          <w:sz w:val="28"/>
          <w:szCs w:val="28"/>
          <w:highlight w:val="none"/>
        </w:rPr>
        <w:t>内有内容相互矛盾，以高标准高要求的为准。以上有关风险等由供应商自行考虑并承担。</w:t>
      </w:r>
    </w:p>
    <w:p w14:paraId="4E104A0A">
      <w:pPr>
        <w:keepLines w:val="0"/>
        <w:pageBreakBefore w:val="0"/>
        <w:kinsoku/>
        <w:wordWrap/>
        <w:overflowPunct/>
        <w:topLinePunct w:val="0"/>
        <w:autoSpaceDE/>
        <w:autoSpaceDN/>
        <w:bidi w:val="0"/>
        <w:adjustRightInd/>
        <w:spacing w:line="500" w:lineRule="exact"/>
        <w:ind w:firstLine="560" w:firstLineChars="200"/>
        <w:textAlignment w:val="auto"/>
        <w:outlineLvl w:val="1"/>
        <w:rPr>
          <w:rFonts w:ascii="黑体" w:hAnsi="黑体" w:eastAsia="黑体"/>
          <w:color w:val="auto"/>
          <w:sz w:val="28"/>
          <w:szCs w:val="28"/>
          <w:highlight w:val="none"/>
        </w:rPr>
      </w:pPr>
      <w:bookmarkStart w:id="62" w:name="_Toc21326"/>
      <w:r>
        <w:rPr>
          <w:rFonts w:hint="eastAsia" w:ascii="黑体" w:hAnsi="黑体" w:eastAsia="黑体"/>
          <w:color w:val="auto"/>
          <w:sz w:val="28"/>
          <w:szCs w:val="28"/>
          <w:highlight w:val="none"/>
        </w:rPr>
        <w:t>五、服务期限和地点</w:t>
      </w:r>
      <w:bookmarkEnd w:id="62"/>
    </w:p>
    <w:p w14:paraId="0754C103">
      <w:pPr>
        <w:keepLines w:val="0"/>
        <w:pageBreakBefore w:val="0"/>
        <w:kinsoku/>
        <w:wordWrap/>
        <w:overflowPunct/>
        <w:topLinePunct w:val="0"/>
        <w:autoSpaceDE/>
        <w:autoSpaceDN/>
        <w:bidi w:val="0"/>
        <w:adjustRightInd/>
        <w:spacing w:line="500" w:lineRule="exact"/>
        <w:ind w:firstLine="560" w:firstLineChars="200"/>
        <w:textAlignment w:val="auto"/>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服务期限：服务期拟定三年，合同一年一签，具体时间以采购人通知为准。第一年合同期满后，经采购人组织相关部门对履约情况进行验收，如服务良好，在不改变服务要求和服务价格前提下，采购人可与成交人按年续签合同，续签不超过两次。</w:t>
      </w:r>
    </w:p>
    <w:p w14:paraId="17AE598D">
      <w:pPr>
        <w:keepLines w:val="0"/>
        <w:pageBreakBefore w:val="0"/>
        <w:kinsoku/>
        <w:wordWrap/>
        <w:overflowPunct/>
        <w:topLinePunct w:val="0"/>
        <w:autoSpaceDE/>
        <w:autoSpaceDN/>
        <w:bidi w:val="0"/>
        <w:adjustRightInd/>
        <w:spacing w:line="500" w:lineRule="exact"/>
        <w:ind w:firstLine="560" w:firstLineChars="200"/>
        <w:textAlignment w:val="auto"/>
        <w:outlineLvl w:val="9"/>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地点：</w:t>
      </w:r>
      <w:r>
        <w:rPr>
          <w:rFonts w:hint="eastAsia" w:ascii="仿宋" w:hAnsi="仿宋" w:eastAsia="仿宋"/>
          <w:color w:val="auto"/>
          <w:sz w:val="28"/>
          <w:szCs w:val="28"/>
          <w:highlight w:val="none"/>
          <w:lang w:val="en-US" w:eastAsia="zh-CN"/>
        </w:rPr>
        <w:t>采购人指定地点</w:t>
      </w:r>
    </w:p>
    <w:p w14:paraId="1D6403FA">
      <w:pPr>
        <w:keepLines w:val="0"/>
        <w:pageBreakBefore w:val="0"/>
        <w:kinsoku/>
        <w:wordWrap/>
        <w:overflowPunct/>
        <w:topLinePunct w:val="0"/>
        <w:autoSpaceDE/>
        <w:autoSpaceDN/>
        <w:bidi w:val="0"/>
        <w:adjustRightInd/>
        <w:spacing w:line="500" w:lineRule="exact"/>
        <w:ind w:firstLine="560" w:firstLineChars="200"/>
        <w:textAlignment w:val="auto"/>
        <w:outlineLvl w:val="1"/>
        <w:rPr>
          <w:rFonts w:ascii="黑体" w:hAnsi="黑体" w:eastAsia="黑体"/>
          <w:color w:val="auto"/>
          <w:sz w:val="28"/>
          <w:szCs w:val="28"/>
          <w:highlight w:val="none"/>
        </w:rPr>
      </w:pPr>
      <w:bookmarkStart w:id="63" w:name="_Toc22979"/>
      <w:r>
        <w:rPr>
          <w:rFonts w:hint="eastAsia" w:ascii="黑体" w:hAnsi="黑体" w:eastAsia="黑体"/>
          <w:color w:val="auto"/>
          <w:sz w:val="28"/>
          <w:szCs w:val="28"/>
          <w:highlight w:val="none"/>
        </w:rPr>
        <w:t>六、考核方案</w:t>
      </w:r>
      <w:bookmarkEnd w:id="63"/>
    </w:p>
    <w:p w14:paraId="1F9442DA">
      <w:pPr>
        <w:keepLines w:val="0"/>
        <w:pageBreakBefore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bCs/>
          <w:color w:val="auto"/>
          <w:sz w:val="28"/>
          <w:szCs w:val="28"/>
          <w:highlight w:val="none"/>
          <w:lang w:eastAsia="zh-CN"/>
        </w:rPr>
      </w:pPr>
      <w:bookmarkStart w:id="64" w:name="_Toc26741"/>
      <w:r>
        <w:rPr>
          <w:rFonts w:hint="eastAsia" w:ascii="仿宋" w:hAnsi="仿宋" w:eastAsia="仿宋"/>
          <w:bCs/>
          <w:color w:val="auto"/>
          <w:sz w:val="28"/>
          <w:szCs w:val="28"/>
          <w:highlight w:val="none"/>
          <w:lang w:eastAsia="zh-CN"/>
        </w:rPr>
        <w:t>（</w:t>
      </w:r>
      <w:r>
        <w:rPr>
          <w:rFonts w:hint="eastAsia" w:ascii="仿宋" w:hAnsi="仿宋" w:eastAsia="仿宋"/>
          <w:bCs/>
          <w:color w:val="auto"/>
          <w:sz w:val="28"/>
          <w:szCs w:val="28"/>
          <w:highlight w:val="none"/>
          <w:lang w:val="en-US" w:eastAsia="zh-CN"/>
        </w:rPr>
        <w:t>一</w:t>
      </w:r>
      <w:r>
        <w:rPr>
          <w:rFonts w:hint="eastAsia" w:ascii="仿宋" w:hAnsi="仿宋" w:eastAsia="仿宋"/>
          <w:bCs/>
          <w:color w:val="auto"/>
          <w:sz w:val="28"/>
          <w:szCs w:val="28"/>
          <w:highlight w:val="none"/>
          <w:lang w:eastAsia="zh-CN"/>
        </w:rPr>
        <w:t>）垃圾清运考核标准</w:t>
      </w:r>
    </w:p>
    <w:p w14:paraId="7C02BDEE">
      <w:pPr>
        <w:keepLines w:val="0"/>
        <w:pageBreakBefore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1.按垃圾分类要求配置垃圾收集桶，做到分类收集、分类转运，转运垃圾量100%，做到日产日清无积存。</w:t>
      </w:r>
    </w:p>
    <w:p w14:paraId="2350751F">
      <w:pPr>
        <w:keepLines w:val="0"/>
        <w:pageBreakBefore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2.垃圾运输做到车走地净。</w:t>
      </w:r>
    </w:p>
    <w:p w14:paraId="3DB43738">
      <w:pPr>
        <w:keepLines w:val="0"/>
        <w:pageBreakBefore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3.车容整洁，车体外无污物、灰垢、密封运输，垃圾车辆运输途中不得有滴、泼、洒、漏 现象。车辆外严禁挂垃圾袋，保持车容车貌整洁。</w:t>
      </w:r>
    </w:p>
    <w:p w14:paraId="38C0C8DE">
      <w:pPr>
        <w:keepLines w:val="0"/>
        <w:pageBreakBefore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4.垃圾按指定的转运站运送。</w:t>
      </w:r>
    </w:p>
    <w:p w14:paraId="5F7EBC33">
      <w:pPr>
        <w:keepLines w:val="0"/>
        <w:pageBreakBefore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5.垃圾处置合格，无填埋，无焚烧。</w:t>
      </w:r>
    </w:p>
    <w:p w14:paraId="010A578A">
      <w:pPr>
        <w:keepLines w:val="0"/>
        <w:pageBreakBefore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6.垃圾运送员需穿着全装上岗，严格遵守交规。</w:t>
      </w:r>
    </w:p>
    <w:p w14:paraId="6117EE9D">
      <w:pPr>
        <w:keepLines w:val="0"/>
        <w:pageBreakBefore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val="en-US" w:eastAsia="zh-CN"/>
        </w:rPr>
        <w:t>7</w:t>
      </w:r>
      <w:r>
        <w:rPr>
          <w:rFonts w:hint="eastAsia" w:ascii="仿宋" w:hAnsi="仿宋" w:eastAsia="仿宋"/>
          <w:bCs/>
          <w:color w:val="auto"/>
          <w:sz w:val="28"/>
          <w:szCs w:val="28"/>
          <w:highlight w:val="none"/>
          <w:lang w:eastAsia="zh-CN"/>
        </w:rPr>
        <w:t>.及时冲洗垃圾容器，不得出现作业人员故意破坏垃圾容器的现象。</w:t>
      </w:r>
    </w:p>
    <w:p w14:paraId="37C6EE27">
      <w:pPr>
        <w:keepLines w:val="0"/>
        <w:pageBreakBefore w:val="0"/>
        <w:kinsoku/>
        <w:wordWrap/>
        <w:overflowPunct/>
        <w:topLinePunct w:val="0"/>
        <w:autoSpaceDE/>
        <w:autoSpaceDN/>
        <w:bidi w:val="0"/>
        <w:adjustRightInd/>
        <w:spacing w:line="500" w:lineRule="exact"/>
        <w:ind w:firstLine="560" w:firstLineChars="200"/>
        <w:textAlignment w:val="auto"/>
        <w:outlineLvl w:val="9"/>
        <w:rPr>
          <w:rFonts w:hint="eastAsia" w:ascii="仿宋" w:hAnsi="仿宋" w:eastAsia="仿宋" w:cs="Times New Roman"/>
          <w:bCs/>
          <w:color w:val="auto"/>
          <w:sz w:val="28"/>
          <w:szCs w:val="28"/>
          <w:highlight w:val="none"/>
          <w:lang w:val="en-US" w:eastAsia="zh-CN"/>
        </w:rPr>
      </w:pPr>
      <w:r>
        <w:rPr>
          <w:rFonts w:hint="eastAsia" w:ascii="仿宋" w:hAnsi="仿宋" w:eastAsia="仿宋"/>
          <w:bCs/>
          <w:color w:val="auto"/>
          <w:sz w:val="28"/>
          <w:szCs w:val="28"/>
          <w:highlight w:val="none"/>
          <w:lang w:eastAsia="zh-CN"/>
        </w:rPr>
        <w:t>（</w:t>
      </w:r>
      <w:r>
        <w:rPr>
          <w:rFonts w:hint="eastAsia" w:ascii="仿宋" w:hAnsi="仿宋" w:eastAsia="仿宋"/>
          <w:bCs/>
          <w:color w:val="auto"/>
          <w:sz w:val="28"/>
          <w:szCs w:val="28"/>
          <w:highlight w:val="none"/>
          <w:lang w:val="en-US" w:eastAsia="zh-CN"/>
        </w:rPr>
        <w:t>二</w:t>
      </w:r>
      <w:r>
        <w:rPr>
          <w:rFonts w:hint="eastAsia" w:ascii="仿宋" w:hAnsi="仿宋" w:eastAsia="仿宋"/>
          <w:bCs/>
          <w:color w:val="auto"/>
          <w:sz w:val="28"/>
          <w:szCs w:val="28"/>
          <w:highlight w:val="none"/>
          <w:lang w:eastAsia="zh-CN"/>
        </w:rPr>
        <w:t>）</w:t>
      </w:r>
      <w:r>
        <w:rPr>
          <w:rFonts w:hint="eastAsia" w:ascii="仿宋" w:hAnsi="仿宋" w:eastAsia="仿宋" w:cs="Times New Roman"/>
          <w:bCs/>
          <w:color w:val="auto"/>
          <w:sz w:val="28"/>
          <w:szCs w:val="28"/>
          <w:highlight w:val="none"/>
          <w:lang w:val="en-US" w:eastAsia="zh-Hans"/>
        </w:rPr>
        <w:t>东陈镇垃圾转运服务作业规范及考核细则</w:t>
      </w:r>
      <w:r>
        <w:rPr>
          <w:rFonts w:hint="eastAsia" w:ascii="仿宋" w:hAnsi="仿宋" w:eastAsia="仿宋" w:cs="Times New Roman"/>
          <w:bCs/>
          <w:color w:val="auto"/>
          <w:sz w:val="28"/>
          <w:szCs w:val="28"/>
          <w:highlight w:val="none"/>
          <w:lang w:val="en-US" w:eastAsia="zh-CN"/>
        </w:rPr>
        <w:t>：</w:t>
      </w:r>
    </w:p>
    <w:p w14:paraId="47DB2253">
      <w:pPr>
        <w:pStyle w:val="3"/>
        <w:keepLines w:val="0"/>
        <w:pageBreakBefore w:val="0"/>
        <w:kinsoku/>
        <w:wordWrap/>
        <w:overflowPunct/>
        <w:topLinePunct w:val="0"/>
        <w:autoSpaceDE/>
        <w:autoSpaceDN/>
        <w:bidi w:val="0"/>
        <w:adjustRightInd/>
        <w:spacing w:before="0" w:beforeAutospacing="0" w:after="0" w:afterAutospacing="0" w:line="500" w:lineRule="exact"/>
        <w:ind w:firstLine="540" w:firstLineChars="200"/>
        <w:textAlignment w:val="auto"/>
        <w:rPr>
          <w:rFonts w:ascii="微软雅黑" w:hAnsi="微软雅黑" w:eastAsia="微软雅黑"/>
          <w:b/>
          <w:bCs/>
          <w:color w:val="auto"/>
          <w:sz w:val="27"/>
          <w:highlight w:val="none"/>
        </w:rPr>
      </w:pPr>
      <w:r>
        <w:rPr>
          <w:rFonts w:ascii="微软雅黑" w:hAnsi="微软雅黑" w:eastAsia="微软雅黑"/>
          <w:b/>
          <w:bCs/>
          <w:color w:val="auto"/>
          <w:sz w:val="27"/>
          <w:highlight w:val="none"/>
        </w:rPr>
        <w:t xml:space="preserve"> </w:t>
      </w:r>
      <w:r>
        <w:rPr>
          <w:rFonts w:hint="eastAsia" w:ascii="仿宋" w:hAnsi="仿宋" w:eastAsia="仿宋" w:cs="Times New Roman"/>
          <w:b/>
          <w:bCs w:val="0"/>
          <w:color w:val="auto"/>
          <w:kern w:val="2"/>
          <w:sz w:val="28"/>
          <w:szCs w:val="28"/>
          <w:highlight w:val="none"/>
          <w:lang w:val="en-US" w:eastAsia="zh-Hans" w:bidi="ar-SA"/>
        </w:rPr>
        <w:t>垃圾转运服务作业规范</w:t>
      </w:r>
    </w:p>
    <w:p w14:paraId="34A0319B">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一、作业质量标准和工作要求</w:t>
      </w:r>
    </w:p>
    <w:p w14:paraId="5697705F">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出车前检查车辆是否完好，箱体是否密闭；</w:t>
      </w:r>
    </w:p>
    <w:p w14:paraId="346BFC7A">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2.</w:t>
      </w:r>
      <w:r>
        <w:rPr>
          <w:rFonts w:hint="eastAsia" w:ascii="仿宋" w:hAnsi="仿宋" w:eastAsia="仿宋" w:cs="仿宋"/>
          <w:color w:val="auto"/>
          <w:sz w:val="28"/>
          <w:szCs w:val="28"/>
          <w:highlight w:val="none"/>
        </w:rPr>
        <w:t>按时到达指定中转站，装卸垃圾时，驾驶员应与中转站操作工密切配合，按照中转站设备使用说明使用相关设备。同时要做到垃圾日产日清；</w:t>
      </w:r>
    </w:p>
    <w:p w14:paraId="6438D9AB">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3.</w:t>
      </w:r>
      <w:r>
        <w:rPr>
          <w:rFonts w:hint="eastAsia" w:ascii="仿宋" w:hAnsi="仿宋" w:eastAsia="仿宋" w:cs="仿宋"/>
          <w:color w:val="auto"/>
          <w:sz w:val="28"/>
          <w:szCs w:val="28"/>
          <w:highlight w:val="none"/>
        </w:rPr>
        <w:t>运输时做到密闭化，车辆整洁，垃圾无吊挂，沿途不散落、滴洒，严禁搭乘与作业无关人员；</w:t>
      </w:r>
    </w:p>
    <w:p w14:paraId="3D2BA461">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4.</w:t>
      </w:r>
      <w:r>
        <w:rPr>
          <w:rFonts w:hint="eastAsia" w:ascii="仿宋" w:hAnsi="仿宋" w:eastAsia="仿宋" w:cs="仿宋"/>
          <w:color w:val="auto"/>
          <w:sz w:val="28"/>
          <w:szCs w:val="28"/>
          <w:highlight w:val="none"/>
        </w:rPr>
        <w:t>垃圾运到处理场后，应服从调度、安排，倾卸垃圾后车厢必须归位后再起步；</w:t>
      </w:r>
    </w:p>
    <w:p w14:paraId="5167D2FD">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5.</w:t>
      </w:r>
      <w:r>
        <w:rPr>
          <w:rFonts w:hint="eastAsia" w:ascii="仿宋" w:hAnsi="仿宋" w:eastAsia="仿宋" w:cs="仿宋"/>
          <w:color w:val="auto"/>
          <w:sz w:val="28"/>
          <w:szCs w:val="28"/>
          <w:highlight w:val="none"/>
        </w:rPr>
        <w:t>装运中遵守交通规则，注意行车安全，防止事故发生；</w:t>
      </w:r>
    </w:p>
    <w:p w14:paraId="3CD4F3ED">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6.</w:t>
      </w:r>
      <w:r>
        <w:rPr>
          <w:rFonts w:hint="eastAsia" w:ascii="仿宋" w:hAnsi="仿宋" w:eastAsia="仿宋" w:cs="仿宋"/>
          <w:color w:val="auto"/>
          <w:sz w:val="28"/>
          <w:szCs w:val="28"/>
          <w:highlight w:val="none"/>
        </w:rPr>
        <w:t>每天作业结束后，将车辆冲洗干净，停放到指定地点。</w:t>
      </w:r>
    </w:p>
    <w:p w14:paraId="14836944">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二、为切实加强考核管理，完善考核监管机制，推动工作落实，提升垃圾转运效率，根据相关规章和标准规范的规定，结合项目实际情况，特制订本考核办法。</w:t>
      </w:r>
    </w:p>
    <w:p w14:paraId="3D8D73B4">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（一）考核内容</w:t>
      </w:r>
    </w:p>
    <w:p w14:paraId="54225E95">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垃圾车辆管理，包括驾驶员工作规范、车辆维护等。</w:t>
      </w:r>
    </w:p>
    <w:p w14:paraId="09DB9CDC">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（二）考核方式</w:t>
      </w:r>
    </w:p>
    <w:p w14:paraId="5DAF54C1">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考核通过随机抽查与通知检查、明查与突击检查等多种形式，全面了解掌握作业车辆及中转站管理质量情况。</w:t>
      </w:r>
    </w:p>
    <w:p w14:paraId="78EB0010">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季度考核：由巡查人员开展日常巡查工作，发现存在问题当场拍照并通知</w:t>
      </w:r>
      <w:r>
        <w:rPr>
          <w:rFonts w:hint="eastAsia" w:ascii="仿宋" w:hAnsi="仿宋" w:eastAsia="仿宋" w:cs="仿宋"/>
          <w:color w:val="auto"/>
          <w:sz w:val="28"/>
          <w:szCs w:val="28"/>
          <w:highlight w:val="none"/>
          <w:lang w:val="en-US" w:eastAsia="zh-CN"/>
        </w:rPr>
        <w:t>成交人</w:t>
      </w:r>
      <w:r>
        <w:rPr>
          <w:rFonts w:hint="eastAsia" w:ascii="仿宋" w:hAnsi="仿宋" w:eastAsia="仿宋" w:cs="仿宋"/>
          <w:color w:val="auto"/>
          <w:sz w:val="28"/>
          <w:szCs w:val="28"/>
          <w:highlight w:val="none"/>
        </w:rPr>
        <w:t>确认并落实整改，同时根据扣分标准予以相应扣分，按季度进行评分；</w:t>
      </w:r>
    </w:p>
    <w:p w14:paraId="7A6BA13C">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2.</w:t>
      </w:r>
      <w:r>
        <w:rPr>
          <w:rFonts w:hint="eastAsia" w:ascii="仿宋" w:hAnsi="仿宋" w:eastAsia="仿宋" w:cs="仿宋"/>
          <w:color w:val="auto"/>
          <w:sz w:val="28"/>
          <w:szCs w:val="28"/>
          <w:highlight w:val="none"/>
        </w:rPr>
        <w:t>公众监督：对群众投诉、媒体曝光的问题，经核实属于</w:t>
      </w:r>
      <w:r>
        <w:rPr>
          <w:rFonts w:hint="eastAsia" w:ascii="仿宋" w:hAnsi="仿宋" w:eastAsia="仿宋" w:cs="仿宋"/>
          <w:color w:val="auto"/>
          <w:sz w:val="28"/>
          <w:szCs w:val="28"/>
          <w:highlight w:val="none"/>
          <w:lang w:val="en-US" w:eastAsia="zh-CN"/>
        </w:rPr>
        <w:t>成交人</w:t>
      </w:r>
      <w:r>
        <w:rPr>
          <w:rFonts w:hint="eastAsia" w:ascii="仿宋" w:hAnsi="仿宋" w:eastAsia="仿宋" w:cs="仿宋"/>
          <w:color w:val="auto"/>
          <w:sz w:val="28"/>
          <w:szCs w:val="28"/>
          <w:highlight w:val="none"/>
        </w:rPr>
        <w:t>责任的，通知</w:t>
      </w:r>
      <w:r>
        <w:rPr>
          <w:rFonts w:hint="eastAsia" w:ascii="仿宋" w:hAnsi="仿宋" w:eastAsia="仿宋" w:cs="仿宋"/>
          <w:color w:val="auto"/>
          <w:sz w:val="28"/>
          <w:szCs w:val="28"/>
          <w:highlight w:val="none"/>
          <w:lang w:val="en-US" w:eastAsia="zh-CN"/>
        </w:rPr>
        <w:t>成交人</w:t>
      </w:r>
      <w:r>
        <w:rPr>
          <w:rFonts w:hint="eastAsia" w:ascii="仿宋" w:hAnsi="仿宋" w:eastAsia="仿宋" w:cs="仿宋"/>
          <w:color w:val="auto"/>
          <w:sz w:val="28"/>
          <w:szCs w:val="28"/>
          <w:highlight w:val="none"/>
        </w:rPr>
        <w:t>处理并按规定进行扣分，拖延处理或造成不良影响的，加倍扣分。扣分根据投诉或曝光日期计入月度考核中，不重复扣分。</w:t>
      </w:r>
    </w:p>
    <w:p w14:paraId="03FE3549">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（三）结果运用</w:t>
      </w:r>
    </w:p>
    <w:p w14:paraId="34C9C750">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Times New Roman"/>
          <w:color w:val="auto"/>
          <w:sz w:val="28"/>
          <w:szCs w:val="28"/>
          <w:highlight w:val="none"/>
          <w:lang w:val="en-US" w:eastAsia="zh-CN"/>
        </w:rPr>
        <w:t>采取“每日计量、季度结算、结合季度绩效考核结果”的办法。每季度暂按垃圾转运处置服务费中标价和实际垃圾处理量的80%支付，余款于合同满一年后根据考核情况支付</w:t>
      </w:r>
      <w:r>
        <w:rPr>
          <w:rFonts w:hint="eastAsia" w:ascii="仿宋" w:hAnsi="仿宋" w:eastAsia="仿宋" w:cs="仿宋"/>
          <w:color w:val="auto"/>
          <w:sz w:val="28"/>
          <w:szCs w:val="28"/>
          <w:highlight w:val="none"/>
        </w:rPr>
        <w:t>。当季度考评分值90分（含90分）以上的，全额拨付当季服务费；得分在85—90（含85分），按实际扣减分数每分2000元扣减当季服务费，得分在85分以下，按实际扣减分数每分3000元扣减当季服务费。按照最终结算的服务费，对该服务季度已经按月度实际支付的垃圾转运处理费以“多退少补”的方式处理（不计息）。</w:t>
      </w:r>
    </w:p>
    <w:p w14:paraId="680CFCE3">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（四）其他事项</w:t>
      </w:r>
    </w:p>
    <w:p w14:paraId="5EB3D7F4">
      <w:pPr>
        <w:pStyle w:val="14"/>
        <w:keepLines w:val="0"/>
        <w:pageBreakBefore w:val="0"/>
        <w:kinsoku/>
        <w:wordWrap/>
        <w:overflowPunct/>
        <w:topLinePunct w:val="0"/>
        <w:autoSpaceDE/>
        <w:autoSpaceDN/>
        <w:bidi w:val="0"/>
        <w:adjustRightInd/>
        <w:spacing w:before="0" w:beforeAutospacing="0" w:after="0" w:afterAutospacing="0" w:line="500" w:lineRule="exact"/>
        <w:ind w:firstLine="840" w:firstLineChars="3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成交人</w:t>
      </w:r>
      <w:r>
        <w:rPr>
          <w:rFonts w:hint="eastAsia" w:ascii="仿宋" w:hAnsi="仿宋" w:eastAsia="仿宋" w:cs="仿宋"/>
          <w:color w:val="auto"/>
          <w:sz w:val="28"/>
          <w:szCs w:val="28"/>
          <w:highlight w:val="none"/>
        </w:rPr>
        <w:t>如果出现以下现象之一，采购人可以采取解除合同措施，并要求</w:t>
      </w:r>
      <w:r>
        <w:rPr>
          <w:rFonts w:hint="eastAsia" w:ascii="仿宋" w:hAnsi="仿宋" w:eastAsia="仿宋" w:cs="仿宋"/>
          <w:color w:val="auto"/>
          <w:sz w:val="28"/>
          <w:szCs w:val="28"/>
          <w:highlight w:val="none"/>
          <w:lang w:val="en-US" w:eastAsia="zh-CN"/>
        </w:rPr>
        <w:t>成交人</w:t>
      </w:r>
      <w:r>
        <w:rPr>
          <w:rFonts w:hint="eastAsia" w:ascii="仿宋" w:hAnsi="仿宋" w:eastAsia="仿宋" w:cs="仿宋"/>
          <w:color w:val="auto"/>
          <w:sz w:val="28"/>
          <w:szCs w:val="28"/>
          <w:highlight w:val="none"/>
        </w:rPr>
        <w:t>赔偿损失。</w:t>
      </w:r>
    </w:p>
    <w:p w14:paraId="08BB8304">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（1）若</w:t>
      </w:r>
      <w:r>
        <w:rPr>
          <w:rFonts w:hint="eastAsia" w:ascii="仿宋" w:hAnsi="仿宋" w:eastAsia="仿宋" w:cs="仿宋"/>
          <w:color w:val="auto"/>
          <w:sz w:val="28"/>
          <w:szCs w:val="28"/>
          <w:highlight w:val="none"/>
          <w:lang w:val="en-US" w:eastAsia="zh-CN"/>
        </w:rPr>
        <w:t>成交人</w:t>
      </w:r>
      <w:r>
        <w:rPr>
          <w:rFonts w:hint="eastAsia" w:ascii="仿宋" w:hAnsi="仿宋" w:eastAsia="仿宋" w:cs="仿宋"/>
          <w:color w:val="auto"/>
          <w:sz w:val="28"/>
          <w:szCs w:val="28"/>
          <w:highlight w:val="none"/>
        </w:rPr>
        <w:t>在服务期内累计出现2次季度考核评分低于80分或出现1次季度</w:t>
      </w:r>
      <w:r>
        <w:rPr>
          <w:rFonts w:hint="eastAsia" w:ascii="仿宋" w:hAnsi="仿宋" w:eastAsia="仿宋" w:cs="仿宋"/>
          <w:color w:val="auto"/>
          <w:sz w:val="28"/>
          <w:szCs w:val="28"/>
          <w:highlight w:val="none"/>
          <w:lang w:eastAsia="zh-CN"/>
        </w:rPr>
        <w:t>考核</w:t>
      </w:r>
      <w:r>
        <w:rPr>
          <w:rFonts w:hint="eastAsia" w:ascii="仿宋" w:hAnsi="仿宋" w:eastAsia="仿宋" w:cs="仿宋"/>
          <w:color w:val="auto"/>
          <w:sz w:val="28"/>
          <w:szCs w:val="28"/>
          <w:highlight w:val="none"/>
        </w:rPr>
        <w:t>评分低于60分的；</w:t>
      </w:r>
    </w:p>
    <w:p w14:paraId="507426E2">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（2）在重大创建活动的迎检过程中，因保障不力、责任失分，造成检查未通过的；</w:t>
      </w:r>
    </w:p>
    <w:p w14:paraId="2895D4BB">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（3）因管理不善、违反劳动法等法律法规，发生群体性事件，造成恶劣影响的；</w:t>
      </w:r>
    </w:p>
    <w:p w14:paraId="683126A3">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（4）存在违反廉政合同或威胁、侮辱、诽谤管理人员等行为的；</w:t>
      </w:r>
    </w:p>
    <w:p w14:paraId="7B6F5CE0">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（5）存在违反国家法律行为或</w:t>
      </w:r>
      <w:r>
        <w:rPr>
          <w:rFonts w:hint="eastAsia" w:ascii="仿宋" w:hAnsi="仿宋" w:eastAsia="仿宋" w:cs="仿宋"/>
          <w:color w:val="auto"/>
          <w:sz w:val="28"/>
          <w:szCs w:val="28"/>
          <w:highlight w:val="none"/>
          <w:lang w:eastAsia="zh-CN"/>
        </w:rPr>
        <w:t>其他</w:t>
      </w:r>
      <w:r>
        <w:rPr>
          <w:rFonts w:hint="eastAsia" w:ascii="仿宋" w:hAnsi="仿宋" w:eastAsia="仿宋" w:cs="仿宋"/>
          <w:color w:val="auto"/>
          <w:sz w:val="28"/>
          <w:szCs w:val="28"/>
          <w:highlight w:val="none"/>
        </w:rPr>
        <w:t>犯罪活动的；</w:t>
      </w:r>
    </w:p>
    <w:p w14:paraId="13BB9317">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lang w:val="en-US" w:eastAsia="zh-CN"/>
        </w:rPr>
        <w:t>成交人</w:t>
      </w:r>
      <w:r>
        <w:rPr>
          <w:rFonts w:hint="eastAsia" w:ascii="仿宋" w:hAnsi="仿宋" w:eastAsia="仿宋" w:cs="仿宋"/>
          <w:color w:val="auto"/>
          <w:sz w:val="28"/>
          <w:szCs w:val="28"/>
          <w:highlight w:val="none"/>
        </w:rPr>
        <w:t>在服务期间因管理不善导致出现重大安全事故，被新闻媒体曝光，并在社会上造成不良影响及严重后果的；</w:t>
      </w:r>
    </w:p>
    <w:p w14:paraId="01AB5453">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（7）不能按约定继续履行合同的。</w:t>
      </w:r>
    </w:p>
    <w:p w14:paraId="3D17ECB4">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（五）有关要求</w:t>
      </w:r>
    </w:p>
    <w:p w14:paraId="487DF5DF">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lang w:val="en-US" w:eastAsia="zh-CN"/>
        </w:rPr>
        <w:t>成交人</w:t>
      </w:r>
      <w:r>
        <w:rPr>
          <w:rFonts w:hint="eastAsia" w:ascii="仿宋" w:hAnsi="仿宋" w:eastAsia="仿宋" w:cs="仿宋"/>
          <w:color w:val="auto"/>
          <w:sz w:val="28"/>
          <w:szCs w:val="28"/>
          <w:highlight w:val="none"/>
        </w:rPr>
        <w:t>严格按照</w:t>
      </w:r>
      <w:r>
        <w:rPr>
          <w:rFonts w:hint="eastAsia" w:ascii="仿宋" w:hAnsi="仿宋" w:eastAsia="仿宋" w:cs="仿宋"/>
          <w:color w:val="auto"/>
          <w:sz w:val="28"/>
          <w:szCs w:val="28"/>
          <w:highlight w:val="none"/>
          <w:lang w:eastAsia="zh-CN"/>
        </w:rPr>
        <w:t>法律法规</w:t>
      </w:r>
      <w:r>
        <w:rPr>
          <w:rFonts w:hint="eastAsia" w:ascii="仿宋" w:hAnsi="仿宋" w:eastAsia="仿宋" w:cs="仿宋"/>
          <w:color w:val="auto"/>
          <w:sz w:val="28"/>
          <w:szCs w:val="28"/>
          <w:highlight w:val="none"/>
        </w:rPr>
        <w:t>和标准、规范以及采购文件、政府采购合同的约定，高质量、高水平落实责任范围内的各项清运工作，并接受各级考核监管部门的检查和监督；</w:t>
      </w:r>
    </w:p>
    <w:p w14:paraId="1F9E9F46">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2.</w:t>
      </w:r>
      <w:r>
        <w:rPr>
          <w:rFonts w:hint="eastAsia" w:ascii="仿宋" w:hAnsi="仿宋" w:eastAsia="仿宋" w:cs="仿宋"/>
          <w:color w:val="auto"/>
          <w:sz w:val="28"/>
          <w:szCs w:val="28"/>
          <w:highlight w:val="none"/>
          <w:lang w:val="en-US" w:eastAsia="zh-CN"/>
        </w:rPr>
        <w:t>成交人</w:t>
      </w:r>
      <w:r>
        <w:rPr>
          <w:rFonts w:hint="eastAsia" w:ascii="仿宋" w:hAnsi="仿宋" w:eastAsia="仿宋" w:cs="仿宋"/>
          <w:color w:val="auto"/>
          <w:sz w:val="28"/>
          <w:szCs w:val="28"/>
          <w:highlight w:val="none"/>
        </w:rPr>
        <w:t>建立健全垃圾清运作业质量自查自评工作机制，健全内部日常作业巡查和监管工作，整理完善自查资料档案，做到制度健全、工作落实、资料齐全，促进垃圾清运作业质量的不断提高；</w:t>
      </w:r>
    </w:p>
    <w:p w14:paraId="12E542FE">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3.</w:t>
      </w:r>
      <w:r>
        <w:rPr>
          <w:rFonts w:hint="eastAsia" w:ascii="仿宋" w:hAnsi="仿宋" w:eastAsia="仿宋" w:cs="仿宋"/>
          <w:color w:val="auto"/>
          <w:sz w:val="28"/>
          <w:szCs w:val="28"/>
          <w:highlight w:val="none"/>
        </w:rPr>
        <w:t>日常考核和季度考核各项资料应齐全，考核人员应客观、公平、公正，季度考核参加人员应不少于两人同时在场，日常考核应有照片等佐证；</w:t>
      </w:r>
    </w:p>
    <w:p w14:paraId="4BE47A5B">
      <w:pPr>
        <w:pStyle w:val="14"/>
        <w:keepLines w:val="0"/>
        <w:pageBreakBefore w:val="0"/>
        <w:kinsoku/>
        <w:wordWrap/>
        <w:overflowPunct/>
        <w:topLinePunct w:val="0"/>
        <w:autoSpaceDE/>
        <w:autoSpaceDN/>
        <w:bidi w:val="0"/>
        <w:adjustRightInd/>
        <w:spacing w:before="0" w:beforeAutospacing="0" w:after="0" w:afterAutospacing="0"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4.</w:t>
      </w:r>
      <w:r>
        <w:rPr>
          <w:rFonts w:hint="eastAsia" w:ascii="仿宋" w:hAnsi="仿宋" w:eastAsia="仿宋" w:cs="仿宋"/>
          <w:color w:val="auto"/>
          <w:sz w:val="28"/>
          <w:szCs w:val="28"/>
          <w:highlight w:val="none"/>
        </w:rPr>
        <w:t>对群众投诉、媒体曝光的环境卫生问题以及重大节日、活动和上级交办的环卫（垃圾清运）工作要认真</w:t>
      </w:r>
      <w:r>
        <w:rPr>
          <w:rFonts w:hint="eastAsia" w:ascii="仿宋" w:hAnsi="仿宋" w:eastAsia="仿宋" w:cs="仿宋"/>
          <w:color w:val="auto"/>
          <w:sz w:val="28"/>
          <w:szCs w:val="28"/>
          <w:highlight w:val="none"/>
          <w:lang w:eastAsia="zh-CN"/>
        </w:rPr>
        <w:t>制定</w:t>
      </w:r>
      <w:r>
        <w:rPr>
          <w:rFonts w:hint="eastAsia" w:ascii="仿宋" w:hAnsi="仿宋" w:eastAsia="仿宋" w:cs="仿宋"/>
          <w:color w:val="auto"/>
          <w:sz w:val="28"/>
          <w:szCs w:val="28"/>
          <w:highlight w:val="none"/>
        </w:rPr>
        <w:t>工作措施，落实整改工作，确保发现的环境卫生问题得以及时、有效地解决。对数字城管案件、12345政府热线、110应急事项、市民投诉等应</w:t>
      </w:r>
      <w:r>
        <w:rPr>
          <w:rFonts w:hint="eastAsia" w:ascii="仿宋" w:hAnsi="仿宋" w:eastAsia="仿宋" w:cs="仿宋"/>
          <w:color w:val="auto"/>
          <w:sz w:val="28"/>
          <w:szCs w:val="28"/>
          <w:highlight w:val="none"/>
          <w:lang w:eastAsia="zh-CN"/>
        </w:rPr>
        <w:t>及时</w:t>
      </w:r>
      <w:r>
        <w:rPr>
          <w:rFonts w:hint="eastAsia" w:ascii="仿宋" w:hAnsi="仿宋" w:eastAsia="仿宋" w:cs="仿宋"/>
          <w:color w:val="auto"/>
          <w:sz w:val="28"/>
          <w:szCs w:val="28"/>
          <w:highlight w:val="none"/>
        </w:rPr>
        <w:t>响应、整改，按规定时间回复。</w:t>
      </w:r>
    </w:p>
    <w:p w14:paraId="1C98A399">
      <w:pPr>
        <w:pStyle w:val="14"/>
        <w:keepLines w:val="0"/>
        <w:pageBreakBefore w:val="0"/>
        <w:kinsoku/>
        <w:wordWrap/>
        <w:overflowPunct/>
        <w:topLinePunct w:val="0"/>
        <w:autoSpaceDE/>
        <w:autoSpaceDN/>
        <w:bidi w:val="0"/>
        <w:adjustRightInd/>
        <w:spacing w:before="0" w:beforeAutospacing="0" w:after="0" w:afterAutospacing="0" w:line="500" w:lineRule="exact"/>
        <w:jc w:val="center"/>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垃圾转运服务考核细则</w:t>
      </w:r>
    </w:p>
    <w:tbl>
      <w:tblPr>
        <w:tblStyle w:val="16"/>
        <w:tblW w:w="5398" w:type="pct"/>
        <w:jc w:val="center"/>
        <w:tblLayout w:type="autofit"/>
        <w:tblCellMar>
          <w:top w:w="0" w:type="dxa"/>
          <w:left w:w="0" w:type="dxa"/>
          <w:bottom w:w="0" w:type="dxa"/>
          <w:right w:w="0" w:type="dxa"/>
        </w:tblCellMar>
      </w:tblPr>
      <w:tblGrid>
        <w:gridCol w:w="1046"/>
        <w:gridCol w:w="1026"/>
        <w:gridCol w:w="1193"/>
        <w:gridCol w:w="978"/>
        <w:gridCol w:w="2851"/>
        <w:gridCol w:w="3238"/>
      </w:tblGrid>
      <w:tr w14:paraId="59C60539">
        <w:tblPrEx>
          <w:tblCellMar>
            <w:top w:w="0" w:type="dxa"/>
            <w:left w:w="0" w:type="dxa"/>
            <w:bottom w:w="0" w:type="dxa"/>
            <w:right w:w="0" w:type="dxa"/>
          </w:tblCellMar>
        </w:tblPrEx>
        <w:trPr>
          <w:trHeight w:val="23" w:hRule="atLeast"/>
          <w:tblHeader/>
          <w:jc w:val="center"/>
        </w:trPr>
        <w:tc>
          <w:tcPr>
            <w:tcW w:w="506" w:type="pct"/>
            <w:tcBorders>
              <w:top w:val="single" w:color="000000" w:sz="8" w:space="0"/>
              <w:left w:val="single" w:color="000000" w:sz="8" w:space="0"/>
              <w:bottom w:val="single" w:color="000000" w:sz="8" w:space="0"/>
              <w:right w:val="single" w:color="000000" w:sz="8" w:space="0"/>
            </w:tcBorders>
            <w:noWrap w:val="0"/>
            <w:tcMar>
              <w:top w:w="15" w:type="dxa"/>
              <w:left w:w="108" w:type="dxa"/>
              <w:bottom w:w="15" w:type="dxa"/>
              <w:right w:w="108" w:type="dxa"/>
            </w:tcMar>
            <w:vAlign w:val="center"/>
          </w:tcPr>
          <w:p w14:paraId="22D226D6">
            <w:pPr>
              <w:pStyle w:val="14"/>
              <w:jc w:val="center"/>
              <w:rPr>
                <w:rFonts w:hint="eastAsia" w:ascii="仿宋" w:hAnsi="仿宋" w:eastAsia="仿宋" w:cs="仿宋"/>
                <w:color w:val="auto"/>
                <w:sz w:val="24"/>
                <w:szCs w:val="24"/>
                <w:highlight w:val="none"/>
              </w:rPr>
            </w:pPr>
            <w:r>
              <w:rPr>
                <w:rStyle w:val="19"/>
                <w:rFonts w:hint="eastAsia" w:ascii="仿宋" w:hAnsi="仿宋" w:eastAsia="仿宋" w:cs="仿宋"/>
                <w:color w:val="auto"/>
                <w:sz w:val="24"/>
                <w:szCs w:val="24"/>
                <w:highlight w:val="none"/>
              </w:rPr>
              <w:t>序号</w:t>
            </w:r>
          </w:p>
        </w:tc>
        <w:tc>
          <w:tcPr>
            <w:tcW w:w="496" w:type="pct"/>
            <w:tcBorders>
              <w:top w:val="single" w:color="000000" w:sz="8" w:space="0"/>
              <w:left w:val="nil"/>
              <w:bottom w:val="single" w:color="000000" w:sz="8" w:space="0"/>
              <w:right w:val="single" w:color="000000" w:sz="8" w:space="0"/>
            </w:tcBorders>
            <w:noWrap w:val="0"/>
            <w:tcMar>
              <w:top w:w="15" w:type="dxa"/>
              <w:left w:w="108" w:type="dxa"/>
              <w:bottom w:w="15" w:type="dxa"/>
              <w:right w:w="108" w:type="dxa"/>
            </w:tcMar>
            <w:vAlign w:val="center"/>
          </w:tcPr>
          <w:p w14:paraId="08CA08A1">
            <w:pPr>
              <w:pStyle w:val="14"/>
              <w:jc w:val="center"/>
              <w:rPr>
                <w:rFonts w:hint="eastAsia" w:ascii="仿宋" w:hAnsi="仿宋" w:eastAsia="仿宋" w:cs="仿宋"/>
                <w:color w:val="auto"/>
                <w:sz w:val="24"/>
                <w:szCs w:val="24"/>
                <w:highlight w:val="none"/>
              </w:rPr>
            </w:pPr>
            <w:r>
              <w:rPr>
                <w:rStyle w:val="19"/>
                <w:rFonts w:hint="eastAsia" w:ascii="仿宋" w:hAnsi="仿宋" w:eastAsia="仿宋" w:cs="仿宋"/>
                <w:color w:val="auto"/>
                <w:sz w:val="24"/>
                <w:szCs w:val="24"/>
                <w:highlight w:val="none"/>
              </w:rPr>
              <w:t>考核一级指标</w:t>
            </w:r>
          </w:p>
        </w:tc>
        <w:tc>
          <w:tcPr>
            <w:tcW w:w="577" w:type="pct"/>
            <w:tcBorders>
              <w:top w:val="single" w:color="000000" w:sz="8" w:space="0"/>
              <w:left w:val="nil"/>
              <w:bottom w:val="single" w:color="000000" w:sz="8" w:space="0"/>
              <w:right w:val="single" w:color="000000" w:sz="8" w:space="0"/>
            </w:tcBorders>
            <w:noWrap w:val="0"/>
            <w:tcMar>
              <w:top w:w="15" w:type="dxa"/>
              <w:left w:w="108" w:type="dxa"/>
              <w:bottom w:w="15" w:type="dxa"/>
              <w:right w:w="108" w:type="dxa"/>
            </w:tcMar>
            <w:vAlign w:val="center"/>
          </w:tcPr>
          <w:p w14:paraId="02725DF6">
            <w:pPr>
              <w:pStyle w:val="14"/>
              <w:jc w:val="center"/>
              <w:rPr>
                <w:rFonts w:hint="eastAsia" w:ascii="仿宋" w:hAnsi="仿宋" w:eastAsia="仿宋" w:cs="仿宋"/>
                <w:color w:val="auto"/>
                <w:sz w:val="24"/>
                <w:szCs w:val="24"/>
                <w:highlight w:val="none"/>
              </w:rPr>
            </w:pPr>
            <w:r>
              <w:rPr>
                <w:rStyle w:val="19"/>
                <w:rFonts w:hint="eastAsia" w:ascii="仿宋" w:hAnsi="仿宋" w:eastAsia="仿宋" w:cs="仿宋"/>
                <w:color w:val="auto"/>
                <w:sz w:val="24"/>
                <w:szCs w:val="24"/>
                <w:highlight w:val="none"/>
              </w:rPr>
              <w:t>二级指标</w:t>
            </w:r>
          </w:p>
        </w:tc>
        <w:tc>
          <w:tcPr>
            <w:tcW w:w="473" w:type="pct"/>
            <w:tcBorders>
              <w:top w:val="single" w:color="000000" w:sz="8" w:space="0"/>
              <w:left w:val="nil"/>
              <w:bottom w:val="single" w:color="000000" w:sz="8" w:space="0"/>
              <w:right w:val="single" w:color="000000" w:sz="8" w:space="0"/>
            </w:tcBorders>
            <w:noWrap w:val="0"/>
            <w:tcMar>
              <w:top w:w="15" w:type="dxa"/>
              <w:left w:w="108" w:type="dxa"/>
              <w:bottom w:w="15" w:type="dxa"/>
              <w:right w:w="108" w:type="dxa"/>
            </w:tcMar>
            <w:vAlign w:val="center"/>
          </w:tcPr>
          <w:p w14:paraId="15E25E3E">
            <w:pPr>
              <w:pStyle w:val="14"/>
              <w:jc w:val="center"/>
              <w:rPr>
                <w:rFonts w:hint="eastAsia" w:ascii="仿宋" w:hAnsi="仿宋" w:eastAsia="仿宋" w:cs="仿宋"/>
                <w:color w:val="auto"/>
                <w:sz w:val="24"/>
                <w:szCs w:val="24"/>
                <w:highlight w:val="none"/>
              </w:rPr>
            </w:pPr>
            <w:r>
              <w:rPr>
                <w:rStyle w:val="19"/>
                <w:rFonts w:hint="eastAsia" w:ascii="仿宋" w:hAnsi="仿宋" w:eastAsia="仿宋" w:cs="仿宋"/>
                <w:color w:val="auto"/>
                <w:sz w:val="24"/>
                <w:szCs w:val="24"/>
                <w:highlight w:val="none"/>
              </w:rPr>
              <w:t>分值</w:t>
            </w:r>
          </w:p>
        </w:tc>
        <w:tc>
          <w:tcPr>
            <w:tcW w:w="1379" w:type="pct"/>
            <w:tcBorders>
              <w:top w:val="single" w:color="000000" w:sz="8" w:space="0"/>
              <w:left w:val="nil"/>
              <w:bottom w:val="single" w:color="000000" w:sz="8" w:space="0"/>
              <w:right w:val="single" w:color="000000" w:sz="8" w:space="0"/>
            </w:tcBorders>
            <w:noWrap w:val="0"/>
            <w:tcMar>
              <w:top w:w="15" w:type="dxa"/>
              <w:left w:w="108" w:type="dxa"/>
              <w:bottom w:w="15" w:type="dxa"/>
              <w:right w:w="108" w:type="dxa"/>
            </w:tcMar>
            <w:vAlign w:val="center"/>
          </w:tcPr>
          <w:p w14:paraId="3120ADAC">
            <w:pPr>
              <w:pStyle w:val="14"/>
              <w:jc w:val="center"/>
              <w:rPr>
                <w:rFonts w:hint="eastAsia" w:ascii="仿宋" w:hAnsi="仿宋" w:eastAsia="仿宋" w:cs="仿宋"/>
                <w:color w:val="auto"/>
                <w:sz w:val="24"/>
                <w:szCs w:val="24"/>
                <w:highlight w:val="none"/>
              </w:rPr>
            </w:pPr>
            <w:r>
              <w:rPr>
                <w:rStyle w:val="19"/>
                <w:rFonts w:hint="eastAsia" w:ascii="仿宋" w:hAnsi="仿宋" w:eastAsia="仿宋" w:cs="仿宋"/>
                <w:color w:val="auto"/>
                <w:sz w:val="24"/>
                <w:szCs w:val="24"/>
                <w:highlight w:val="none"/>
              </w:rPr>
              <w:t>考核要求</w:t>
            </w:r>
          </w:p>
        </w:tc>
        <w:tc>
          <w:tcPr>
            <w:tcW w:w="1566" w:type="pct"/>
            <w:tcBorders>
              <w:top w:val="single" w:color="000000" w:sz="8" w:space="0"/>
              <w:left w:val="nil"/>
              <w:bottom w:val="single" w:color="000000" w:sz="8" w:space="0"/>
              <w:right w:val="single" w:color="000000" w:sz="8" w:space="0"/>
            </w:tcBorders>
            <w:noWrap w:val="0"/>
            <w:tcMar>
              <w:top w:w="15" w:type="dxa"/>
              <w:left w:w="108" w:type="dxa"/>
              <w:bottom w:w="15" w:type="dxa"/>
              <w:right w:w="108" w:type="dxa"/>
            </w:tcMar>
            <w:vAlign w:val="center"/>
          </w:tcPr>
          <w:p w14:paraId="4C1FE08C">
            <w:pPr>
              <w:pStyle w:val="14"/>
              <w:jc w:val="center"/>
              <w:rPr>
                <w:rFonts w:hint="eastAsia" w:ascii="仿宋" w:hAnsi="仿宋" w:eastAsia="仿宋" w:cs="仿宋"/>
                <w:color w:val="auto"/>
                <w:sz w:val="24"/>
                <w:szCs w:val="24"/>
                <w:highlight w:val="none"/>
              </w:rPr>
            </w:pPr>
            <w:r>
              <w:rPr>
                <w:rStyle w:val="19"/>
                <w:rFonts w:hint="eastAsia" w:ascii="仿宋" w:hAnsi="仿宋" w:eastAsia="仿宋" w:cs="仿宋"/>
                <w:color w:val="auto"/>
                <w:sz w:val="24"/>
                <w:szCs w:val="24"/>
                <w:highlight w:val="none"/>
              </w:rPr>
              <w:t>扣分原则</w:t>
            </w:r>
          </w:p>
        </w:tc>
      </w:tr>
      <w:tr w14:paraId="23C3E91E">
        <w:tblPrEx>
          <w:tblCellMar>
            <w:top w:w="0" w:type="dxa"/>
            <w:left w:w="0" w:type="dxa"/>
            <w:bottom w:w="0" w:type="dxa"/>
            <w:right w:w="0" w:type="dxa"/>
          </w:tblCellMar>
        </w:tblPrEx>
        <w:trPr>
          <w:trHeight w:val="23" w:hRule="atLeast"/>
          <w:jc w:val="center"/>
        </w:trPr>
        <w:tc>
          <w:tcPr>
            <w:tcW w:w="506" w:type="pct"/>
            <w:vMerge w:val="restart"/>
            <w:tcBorders>
              <w:top w:val="nil"/>
              <w:left w:val="single" w:color="000000" w:sz="8" w:space="0"/>
              <w:bottom w:val="single" w:color="000000" w:sz="8" w:space="0"/>
              <w:right w:val="single" w:color="000000" w:sz="8" w:space="0"/>
            </w:tcBorders>
            <w:noWrap w:val="0"/>
            <w:tcMar>
              <w:top w:w="15" w:type="dxa"/>
              <w:left w:w="108" w:type="dxa"/>
              <w:bottom w:w="15" w:type="dxa"/>
              <w:right w:w="108" w:type="dxa"/>
            </w:tcMar>
            <w:vAlign w:val="center"/>
          </w:tcPr>
          <w:p w14:paraId="02F77C9F">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496" w:type="pct"/>
            <w:vMerge w:val="restar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1EDFDF63">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垃圾清运标准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25分</w:t>
            </w:r>
            <w:r>
              <w:rPr>
                <w:rFonts w:hint="eastAsia" w:ascii="仿宋" w:hAnsi="仿宋" w:eastAsia="仿宋" w:cs="仿宋"/>
                <w:color w:val="auto"/>
                <w:sz w:val="24"/>
                <w:szCs w:val="24"/>
                <w:highlight w:val="none"/>
                <w:lang w:eastAsia="zh-CN"/>
              </w:rPr>
              <w:t>）</w:t>
            </w:r>
          </w:p>
        </w:tc>
        <w:tc>
          <w:tcPr>
            <w:tcW w:w="577"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3B66CD15">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垃圾计量管理</w:t>
            </w:r>
          </w:p>
        </w:tc>
        <w:tc>
          <w:tcPr>
            <w:tcW w:w="473"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63668DDE">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1379"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4CF1DA0D">
            <w:pPr>
              <w:pStyle w:val="1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配合垃圾处置场所做好对运输垃圾称重计量，各项数据、信息应详细记录存档。</w:t>
            </w:r>
          </w:p>
        </w:tc>
        <w:tc>
          <w:tcPr>
            <w:tcW w:w="1566"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0D13724E">
            <w:pPr>
              <w:pStyle w:val="1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未配合计量，对处置场所工作造成影响的，每车次扣1分。</w:t>
            </w:r>
          </w:p>
        </w:tc>
      </w:tr>
      <w:tr w14:paraId="04B695B2">
        <w:tblPrEx>
          <w:tblCellMar>
            <w:top w:w="0" w:type="dxa"/>
            <w:left w:w="0" w:type="dxa"/>
            <w:bottom w:w="0" w:type="dxa"/>
            <w:right w:w="0" w:type="dxa"/>
          </w:tblCellMar>
        </w:tblPrEx>
        <w:trPr>
          <w:trHeight w:val="23" w:hRule="atLeast"/>
          <w:jc w:val="center"/>
        </w:trPr>
        <w:tc>
          <w:tcPr>
            <w:tcW w:w="506" w:type="pct"/>
            <w:vMerge w:val="continue"/>
            <w:tcBorders>
              <w:top w:val="nil"/>
              <w:left w:val="single" w:color="000000" w:sz="8" w:space="0"/>
              <w:bottom w:val="single" w:color="000000" w:sz="8" w:space="0"/>
              <w:right w:val="single" w:color="000000" w:sz="8" w:space="0"/>
            </w:tcBorders>
            <w:noWrap w:val="0"/>
            <w:vAlign w:val="center"/>
          </w:tcPr>
          <w:p w14:paraId="49B80950">
            <w:pPr>
              <w:jc w:val="center"/>
              <w:rPr>
                <w:rFonts w:hint="eastAsia" w:ascii="仿宋" w:hAnsi="仿宋" w:eastAsia="仿宋" w:cs="仿宋"/>
                <w:color w:val="auto"/>
                <w:sz w:val="24"/>
                <w:szCs w:val="24"/>
                <w:highlight w:val="none"/>
              </w:rPr>
            </w:pPr>
          </w:p>
        </w:tc>
        <w:tc>
          <w:tcPr>
            <w:tcW w:w="496" w:type="pct"/>
            <w:vMerge w:val="continue"/>
            <w:tcBorders>
              <w:top w:val="nil"/>
              <w:left w:val="nil"/>
              <w:bottom w:val="single" w:color="000000" w:sz="8" w:space="0"/>
              <w:right w:val="single" w:color="000000" w:sz="8" w:space="0"/>
            </w:tcBorders>
            <w:noWrap w:val="0"/>
            <w:vAlign w:val="center"/>
          </w:tcPr>
          <w:p w14:paraId="3D985396">
            <w:pPr>
              <w:jc w:val="center"/>
              <w:rPr>
                <w:rFonts w:hint="eastAsia" w:ascii="仿宋" w:hAnsi="仿宋" w:eastAsia="仿宋" w:cs="仿宋"/>
                <w:color w:val="auto"/>
                <w:sz w:val="24"/>
                <w:szCs w:val="24"/>
                <w:highlight w:val="none"/>
              </w:rPr>
            </w:pPr>
          </w:p>
        </w:tc>
        <w:tc>
          <w:tcPr>
            <w:tcW w:w="577"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24001B5F">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线路备案管理</w:t>
            </w:r>
          </w:p>
        </w:tc>
        <w:tc>
          <w:tcPr>
            <w:tcW w:w="473"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6E4BC18F">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1379"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22E6838B">
            <w:pPr>
              <w:pStyle w:val="1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合理确定清运线路安排，并报市容环卫主管部门备案。</w:t>
            </w:r>
          </w:p>
        </w:tc>
        <w:tc>
          <w:tcPr>
            <w:tcW w:w="1566"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5B743272">
            <w:pPr>
              <w:pStyle w:val="1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清运线路未报备给属地管理部门，每发生一次扣5分。</w:t>
            </w:r>
          </w:p>
        </w:tc>
      </w:tr>
      <w:tr w14:paraId="301C7387">
        <w:tblPrEx>
          <w:tblCellMar>
            <w:top w:w="0" w:type="dxa"/>
            <w:left w:w="0" w:type="dxa"/>
            <w:bottom w:w="0" w:type="dxa"/>
            <w:right w:w="0" w:type="dxa"/>
          </w:tblCellMar>
        </w:tblPrEx>
        <w:trPr>
          <w:trHeight w:val="23" w:hRule="atLeast"/>
          <w:jc w:val="center"/>
        </w:trPr>
        <w:tc>
          <w:tcPr>
            <w:tcW w:w="506" w:type="pct"/>
            <w:vMerge w:val="continue"/>
            <w:tcBorders>
              <w:top w:val="nil"/>
              <w:left w:val="single" w:color="000000" w:sz="8" w:space="0"/>
              <w:bottom w:val="single" w:color="000000" w:sz="8" w:space="0"/>
              <w:right w:val="single" w:color="000000" w:sz="8" w:space="0"/>
            </w:tcBorders>
            <w:noWrap w:val="0"/>
            <w:vAlign w:val="center"/>
          </w:tcPr>
          <w:p w14:paraId="2FAA0DFD">
            <w:pPr>
              <w:jc w:val="center"/>
              <w:rPr>
                <w:rFonts w:hint="eastAsia" w:ascii="仿宋" w:hAnsi="仿宋" w:eastAsia="仿宋" w:cs="仿宋"/>
                <w:color w:val="auto"/>
                <w:sz w:val="24"/>
                <w:szCs w:val="24"/>
                <w:highlight w:val="none"/>
              </w:rPr>
            </w:pPr>
          </w:p>
        </w:tc>
        <w:tc>
          <w:tcPr>
            <w:tcW w:w="496" w:type="pct"/>
            <w:vMerge w:val="continue"/>
            <w:tcBorders>
              <w:top w:val="nil"/>
              <w:left w:val="nil"/>
              <w:bottom w:val="single" w:color="000000" w:sz="8" w:space="0"/>
              <w:right w:val="single" w:color="000000" w:sz="8" w:space="0"/>
            </w:tcBorders>
            <w:noWrap w:val="0"/>
            <w:vAlign w:val="center"/>
          </w:tcPr>
          <w:p w14:paraId="76750D5C">
            <w:pPr>
              <w:jc w:val="center"/>
              <w:rPr>
                <w:rFonts w:hint="eastAsia" w:ascii="仿宋" w:hAnsi="仿宋" w:eastAsia="仿宋" w:cs="仿宋"/>
                <w:color w:val="auto"/>
                <w:sz w:val="24"/>
                <w:szCs w:val="24"/>
                <w:highlight w:val="none"/>
              </w:rPr>
            </w:pPr>
          </w:p>
        </w:tc>
        <w:tc>
          <w:tcPr>
            <w:tcW w:w="577"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468B1130">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清运频次</w:t>
            </w:r>
          </w:p>
        </w:tc>
        <w:tc>
          <w:tcPr>
            <w:tcW w:w="473"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028647CC">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1379"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35E4C930">
            <w:pPr>
              <w:pStyle w:val="1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按产生垃圾量合理安排清运频次收运垃圾，确保垃圾日产日清。</w:t>
            </w:r>
          </w:p>
        </w:tc>
        <w:tc>
          <w:tcPr>
            <w:tcW w:w="1566"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18360C60">
            <w:pPr>
              <w:pStyle w:val="1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垃圾没有做到日产日清的，每发现一次扣1分。</w:t>
            </w:r>
          </w:p>
        </w:tc>
      </w:tr>
      <w:tr w14:paraId="57EBF74A">
        <w:tblPrEx>
          <w:tblCellMar>
            <w:top w:w="0" w:type="dxa"/>
            <w:left w:w="0" w:type="dxa"/>
            <w:bottom w:w="0" w:type="dxa"/>
            <w:right w:w="0" w:type="dxa"/>
          </w:tblCellMar>
        </w:tblPrEx>
        <w:trPr>
          <w:trHeight w:val="23" w:hRule="atLeast"/>
          <w:jc w:val="center"/>
        </w:trPr>
        <w:tc>
          <w:tcPr>
            <w:tcW w:w="506" w:type="pct"/>
            <w:vMerge w:val="restart"/>
            <w:tcBorders>
              <w:top w:val="nil"/>
              <w:left w:val="single" w:color="000000" w:sz="8" w:space="0"/>
              <w:bottom w:val="single" w:color="000000" w:sz="8" w:space="0"/>
              <w:right w:val="single" w:color="000000" w:sz="8" w:space="0"/>
            </w:tcBorders>
            <w:noWrap w:val="0"/>
            <w:tcMar>
              <w:top w:w="15" w:type="dxa"/>
              <w:left w:w="108" w:type="dxa"/>
              <w:bottom w:w="15" w:type="dxa"/>
              <w:right w:w="108" w:type="dxa"/>
            </w:tcMar>
            <w:vAlign w:val="center"/>
          </w:tcPr>
          <w:p w14:paraId="196FC6F9">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496" w:type="pct"/>
            <w:vMerge w:val="restar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66B78CE1">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车容</w:t>
            </w:r>
          </w:p>
          <w:p w14:paraId="5BCCFF8F">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车貌</w:t>
            </w:r>
          </w:p>
          <w:p w14:paraId="327D1514">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（25分）</w:t>
            </w:r>
          </w:p>
        </w:tc>
        <w:tc>
          <w:tcPr>
            <w:tcW w:w="577"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4B4193DF">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车辆电子识别</w:t>
            </w:r>
          </w:p>
        </w:tc>
        <w:tc>
          <w:tcPr>
            <w:tcW w:w="473"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43D1C0EB">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1379"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3205036A">
            <w:pPr>
              <w:pStyle w:val="1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垃圾运输车辆安装统一的车辆行驶记录仪、车载视频监控和电子识别卡。</w:t>
            </w:r>
          </w:p>
        </w:tc>
        <w:tc>
          <w:tcPr>
            <w:tcW w:w="1566"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6F691A75">
            <w:pPr>
              <w:pStyle w:val="1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未安装车辆行驶过程记录仪、电子识别卡的，每车扣1分；安装后未使用的，每车扣1分。</w:t>
            </w:r>
          </w:p>
        </w:tc>
      </w:tr>
      <w:tr w14:paraId="726C9C7E">
        <w:tblPrEx>
          <w:tblCellMar>
            <w:top w:w="0" w:type="dxa"/>
            <w:left w:w="0" w:type="dxa"/>
            <w:bottom w:w="0" w:type="dxa"/>
            <w:right w:w="0" w:type="dxa"/>
          </w:tblCellMar>
        </w:tblPrEx>
        <w:trPr>
          <w:trHeight w:val="23" w:hRule="atLeast"/>
          <w:jc w:val="center"/>
        </w:trPr>
        <w:tc>
          <w:tcPr>
            <w:tcW w:w="506" w:type="pct"/>
            <w:vMerge w:val="continue"/>
            <w:tcBorders>
              <w:top w:val="nil"/>
              <w:left w:val="single" w:color="000000" w:sz="8" w:space="0"/>
              <w:bottom w:val="single" w:color="000000" w:sz="8" w:space="0"/>
              <w:right w:val="single" w:color="000000" w:sz="8" w:space="0"/>
            </w:tcBorders>
            <w:noWrap w:val="0"/>
            <w:vAlign w:val="center"/>
          </w:tcPr>
          <w:p w14:paraId="34C14078">
            <w:pPr>
              <w:jc w:val="center"/>
              <w:rPr>
                <w:rFonts w:hint="eastAsia" w:ascii="仿宋" w:hAnsi="仿宋" w:eastAsia="仿宋" w:cs="仿宋"/>
                <w:color w:val="auto"/>
                <w:sz w:val="24"/>
                <w:szCs w:val="24"/>
                <w:highlight w:val="none"/>
              </w:rPr>
            </w:pPr>
          </w:p>
        </w:tc>
        <w:tc>
          <w:tcPr>
            <w:tcW w:w="496" w:type="pct"/>
            <w:vMerge w:val="continue"/>
            <w:tcBorders>
              <w:top w:val="nil"/>
              <w:left w:val="nil"/>
              <w:bottom w:val="single" w:color="000000" w:sz="8" w:space="0"/>
              <w:right w:val="single" w:color="000000" w:sz="8" w:space="0"/>
            </w:tcBorders>
            <w:noWrap w:val="0"/>
            <w:vAlign w:val="center"/>
          </w:tcPr>
          <w:p w14:paraId="6F62F8C1">
            <w:pPr>
              <w:jc w:val="center"/>
              <w:rPr>
                <w:rFonts w:hint="eastAsia" w:ascii="仿宋" w:hAnsi="仿宋" w:eastAsia="仿宋" w:cs="仿宋"/>
                <w:color w:val="auto"/>
                <w:sz w:val="24"/>
                <w:szCs w:val="24"/>
                <w:highlight w:val="none"/>
              </w:rPr>
            </w:pPr>
          </w:p>
        </w:tc>
        <w:tc>
          <w:tcPr>
            <w:tcW w:w="577"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7695A26D">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车辆标识</w:t>
            </w:r>
          </w:p>
        </w:tc>
        <w:tc>
          <w:tcPr>
            <w:tcW w:w="473"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378E5C90">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1379"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5D354238">
            <w:pPr>
              <w:pStyle w:val="1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车辆必须规范地喷涂清运图案后方可上路作业</w:t>
            </w:r>
          </w:p>
        </w:tc>
        <w:tc>
          <w:tcPr>
            <w:tcW w:w="1566"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339201E9">
            <w:pPr>
              <w:pStyle w:val="1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未喷涂清运图案的，每车扣1分。</w:t>
            </w:r>
          </w:p>
        </w:tc>
      </w:tr>
      <w:tr w14:paraId="17B3811D">
        <w:tblPrEx>
          <w:tblCellMar>
            <w:top w:w="0" w:type="dxa"/>
            <w:left w:w="0" w:type="dxa"/>
            <w:bottom w:w="0" w:type="dxa"/>
            <w:right w:w="0" w:type="dxa"/>
          </w:tblCellMar>
        </w:tblPrEx>
        <w:trPr>
          <w:trHeight w:val="23" w:hRule="atLeast"/>
          <w:jc w:val="center"/>
        </w:trPr>
        <w:tc>
          <w:tcPr>
            <w:tcW w:w="506" w:type="pct"/>
            <w:vMerge w:val="continue"/>
            <w:tcBorders>
              <w:top w:val="nil"/>
              <w:left w:val="single" w:color="000000" w:sz="8" w:space="0"/>
              <w:bottom w:val="single" w:color="000000" w:sz="8" w:space="0"/>
              <w:right w:val="single" w:color="000000" w:sz="8" w:space="0"/>
            </w:tcBorders>
            <w:noWrap w:val="0"/>
            <w:vAlign w:val="center"/>
          </w:tcPr>
          <w:p w14:paraId="2594CE5B">
            <w:pPr>
              <w:jc w:val="center"/>
              <w:rPr>
                <w:rFonts w:hint="eastAsia" w:ascii="仿宋" w:hAnsi="仿宋" w:eastAsia="仿宋" w:cs="仿宋"/>
                <w:color w:val="auto"/>
                <w:sz w:val="24"/>
                <w:szCs w:val="24"/>
                <w:highlight w:val="none"/>
              </w:rPr>
            </w:pPr>
          </w:p>
        </w:tc>
        <w:tc>
          <w:tcPr>
            <w:tcW w:w="496" w:type="pct"/>
            <w:vMerge w:val="continue"/>
            <w:tcBorders>
              <w:top w:val="nil"/>
              <w:left w:val="nil"/>
              <w:bottom w:val="single" w:color="000000" w:sz="8" w:space="0"/>
              <w:right w:val="single" w:color="000000" w:sz="8" w:space="0"/>
            </w:tcBorders>
            <w:noWrap w:val="0"/>
            <w:vAlign w:val="center"/>
          </w:tcPr>
          <w:p w14:paraId="4F3F05D8">
            <w:pPr>
              <w:jc w:val="center"/>
              <w:rPr>
                <w:rFonts w:hint="eastAsia" w:ascii="仿宋" w:hAnsi="仿宋" w:eastAsia="仿宋" w:cs="仿宋"/>
                <w:color w:val="auto"/>
                <w:sz w:val="24"/>
                <w:szCs w:val="24"/>
                <w:highlight w:val="none"/>
              </w:rPr>
            </w:pPr>
          </w:p>
        </w:tc>
        <w:tc>
          <w:tcPr>
            <w:tcW w:w="577"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113172B3">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车辆容貌</w:t>
            </w:r>
          </w:p>
        </w:tc>
        <w:tc>
          <w:tcPr>
            <w:tcW w:w="473"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3173FC4E">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1379"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7883A718">
            <w:pPr>
              <w:pStyle w:val="1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垃圾运输车辆外观整洁，实行密闭化运输，垃圾不落地，垃圾不外露，沿途不撇漏。</w:t>
            </w:r>
          </w:p>
        </w:tc>
        <w:tc>
          <w:tcPr>
            <w:tcW w:w="1566"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782F1211">
            <w:pPr>
              <w:pStyle w:val="1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垃圾运输车辆不整洁，外观积尘，尘垢明显的；垃圾落地的；车身垃圾吊挂，垃圾外露，垃圾遗撇，污水滴漏；每车次扣0.5分。</w:t>
            </w:r>
          </w:p>
        </w:tc>
      </w:tr>
      <w:tr w14:paraId="02BE4101">
        <w:tblPrEx>
          <w:tblCellMar>
            <w:top w:w="0" w:type="dxa"/>
            <w:left w:w="0" w:type="dxa"/>
            <w:bottom w:w="0" w:type="dxa"/>
            <w:right w:w="0" w:type="dxa"/>
          </w:tblCellMar>
        </w:tblPrEx>
        <w:trPr>
          <w:trHeight w:val="23" w:hRule="atLeast"/>
          <w:jc w:val="center"/>
        </w:trPr>
        <w:tc>
          <w:tcPr>
            <w:tcW w:w="506" w:type="pct"/>
            <w:tcBorders>
              <w:top w:val="nil"/>
              <w:left w:val="single" w:color="000000" w:sz="8" w:space="0"/>
              <w:bottom w:val="single" w:color="000000" w:sz="8" w:space="0"/>
              <w:right w:val="single" w:color="000000" w:sz="8" w:space="0"/>
            </w:tcBorders>
            <w:noWrap w:val="0"/>
            <w:tcMar>
              <w:top w:w="15" w:type="dxa"/>
              <w:left w:w="108" w:type="dxa"/>
              <w:bottom w:w="15" w:type="dxa"/>
              <w:right w:w="108" w:type="dxa"/>
            </w:tcMar>
            <w:vAlign w:val="center"/>
          </w:tcPr>
          <w:p w14:paraId="4F21C1A1">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496"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533D0DA6">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转运场作业规范（5分）</w:t>
            </w:r>
          </w:p>
        </w:tc>
        <w:tc>
          <w:tcPr>
            <w:tcW w:w="577"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1EEBC05D">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规范作业</w:t>
            </w:r>
          </w:p>
        </w:tc>
        <w:tc>
          <w:tcPr>
            <w:tcW w:w="473"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35ADDF9C">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1379"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5ACCDFB3">
            <w:pPr>
              <w:pStyle w:val="1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转运站规范管理，及时清理清洗转运场环境卫生，保持场内外及其他环卫责任区块干净整洁，无臭味或蜘蛛网。</w:t>
            </w:r>
          </w:p>
        </w:tc>
        <w:tc>
          <w:tcPr>
            <w:tcW w:w="1566"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4DDB4A77">
            <w:pPr>
              <w:pStyle w:val="1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垃圾转运场内、周边及其他环卫责任区块不干净整洁、有臭味或蜘蛛网每处扣1分。</w:t>
            </w:r>
          </w:p>
        </w:tc>
      </w:tr>
      <w:tr w14:paraId="069FA6B3">
        <w:tblPrEx>
          <w:tblCellMar>
            <w:top w:w="0" w:type="dxa"/>
            <w:left w:w="0" w:type="dxa"/>
            <w:bottom w:w="0" w:type="dxa"/>
            <w:right w:w="0" w:type="dxa"/>
          </w:tblCellMar>
        </w:tblPrEx>
        <w:trPr>
          <w:trHeight w:val="23" w:hRule="atLeast"/>
          <w:jc w:val="center"/>
        </w:trPr>
        <w:tc>
          <w:tcPr>
            <w:tcW w:w="506" w:type="pct"/>
            <w:vMerge w:val="restart"/>
            <w:tcBorders>
              <w:top w:val="nil"/>
              <w:left w:val="single" w:color="000000" w:sz="8" w:space="0"/>
              <w:bottom w:val="single" w:color="000000" w:sz="8" w:space="0"/>
              <w:right w:val="single" w:color="000000" w:sz="8" w:space="0"/>
            </w:tcBorders>
            <w:noWrap w:val="0"/>
            <w:tcMar>
              <w:top w:w="15" w:type="dxa"/>
              <w:left w:w="108" w:type="dxa"/>
              <w:bottom w:w="15" w:type="dxa"/>
              <w:right w:w="108" w:type="dxa"/>
            </w:tcMar>
            <w:vAlign w:val="center"/>
          </w:tcPr>
          <w:p w14:paraId="44D635D0">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496" w:type="pct"/>
            <w:vMerge w:val="restar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4FCEC5A2">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安全文明清运（20分）</w:t>
            </w:r>
          </w:p>
        </w:tc>
        <w:tc>
          <w:tcPr>
            <w:tcW w:w="577"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0FAF1422">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安全作业</w:t>
            </w:r>
          </w:p>
        </w:tc>
        <w:tc>
          <w:tcPr>
            <w:tcW w:w="473"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19F8A182">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1379"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12C8AB85">
            <w:pPr>
              <w:pStyle w:val="1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安全管理制度落实，车队设有专职安全员，定期组织全员安全培训活动。垃圾清运车辆驾驶人员持证上岗，严格按照操作规程进行作业。</w:t>
            </w:r>
          </w:p>
        </w:tc>
        <w:tc>
          <w:tcPr>
            <w:tcW w:w="1566"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75030F3C">
            <w:pPr>
              <w:pStyle w:val="1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无安全管理制度的扣10分，安全管理制度不够完善的扣1分，车队未设专职安全员的扣1分，未定期举办安全培训活动的每次扣1分。垃圾清运车辆驾驶人员未持证上岗的每人次扣1分。</w:t>
            </w:r>
          </w:p>
        </w:tc>
      </w:tr>
      <w:tr w14:paraId="7CF6C4E6">
        <w:tblPrEx>
          <w:tblCellMar>
            <w:top w:w="0" w:type="dxa"/>
            <w:left w:w="0" w:type="dxa"/>
            <w:bottom w:w="0" w:type="dxa"/>
            <w:right w:w="0" w:type="dxa"/>
          </w:tblCellMar>
        </w:tblPrEx>
        <w:trPr>
          <w:trHeight w:val="23" w:hRule="atLeast"/>
          <w:jc w:val="center"/>
        </w:trPr>
        <w:tc>
          <w:tcPr>
            <w:tcW w:w="506" w:type="pct"/>
            <w:vMerge w:val="continue"/>
            <w:tcBorders>
              <w:top w:val="nil"/>
              <w:left w:val="single" w:color="000000" w:sz="8" w:space="0"/>
              <w:bottom w:val="single" w:color="000000" w:sz="8" w:space="0"/>
              <w:right w:val="single" w:color="000000" w:sz="8" w:space="0"/>
            </w:tcBorders>
            <w:noWrap w:val="0"/>
            <w:vAlign w:val="center"/>
          </w:tcPr>
          <w:p w14:paraId="2148F596">
            <w:pPr>
              <w:jc w:val="center"/>
              <w:rPr>
                <w:rFonts w:hint="eastAsia" w:ascii="仿宋" w:hAnsi="仿宋" w:eastAsia="仿宋" w:cs="仿宋"/>
                <w:color w:val="auto"/>
                <w:sz w:val="24"/>
                <w:szCs w:val="24"/>
                <w:highlight w:val="none"/>
              </w:rPr>
            </w:pPr>
          </w:p>
        </w:tc>
        <w:tc>
          <w:tcPr>
            <w:tcW w:w="496" w:type="pct"/>
            <w:vMerge w:val="continue"/>
            <w:tcBorders>
              <w:top w:val="nil"/>
              <w:left w:val="nil"/>
              <w:bottom w:val="single" w:color="000000" w:sz="8" w:space="0"/>
              <w:right w:val="single" w:color="000000" w:sz="8" w:space="0"/>
            </w:tcBorders>
            <w:noWrap w:val="0"/>
            <w:vAlign w:val="center"/>
          </w:tcPr>
          <w:p w14:paraId="172737B9">
            <w:pPr>
              <w:jc w:val="center"/>
              <w:rPr>
                <w:rFonts w:hint="eastAsia" w:ascii="仿宋" w:hAnsi="仿宋" w:eastAsia="仿宋" w:cs="仿宋"/>
                <w:color w:val="auto"/>
                <w:sz w:val="24"/>
                <w:szCs w:val="24"/>
                <w:highlight w:val="none"/>
              </w:rPr>
            </w:pPr>
          </w:p>
        </w:tc>
        <w:tc>
          <w:tcPr>
            <w:tcW w:w="577"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1FE6FCF5">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安全事故</w:t>
            </w:r>
          </w:p>
        </w:tc>
        <w:tc>
          <w:tcPr>
            <w:tcW w:w="473"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4F01BB0E">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1379"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079F17A2">
            <w:pPr>
              <w:pStyle w:val="1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车辆行驶、垃圾清理等重点环节要注重安全，车辆在住宅小区、背街小巷等狭窄道路确保安全低速通过。无有责交通事故，生产事故。</w:t>
            </w:r>
          </w:p>
        </w:tc>
        <w:tc>
          <w:tcPr>
            <w:tcW w:w="1566"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3301A468">
            <w:pPr>
              <w:pStyle w:val="1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发生1人以上人员伤残的有责交通事故、生产事故每人次扣2分。发生1人以上人员伤亡的有责交通事故、生产事故每人次扣3分。</w:t>
            </w:r>
          </w:p>
        </w:tc>
      </w:tr>
      <w:tr w14:paraId="75512A0C">
        <w:tblPrEx>
          <w:tblCellMar>
            <w:top w:w="0" w:type="dxa"/>
            <w:left w:w="0" w:type="dxa"/>
            <w:bottom w:w="0" w:type="dxa"/>
            <w:right w:w="0" w:type="dxa"/>
          </w:tblCellMar>
        </w:tblPrEx>
        <w:trPr>
          <w:trHeight w:val="23" w:hRule="atLeast"/>
          <w:jc w:val="center"/>
        </w:trPr>
        <w:tc>
          <w:tcPr>
            <w:tcW w:w="506" w:type="pct"/>
            <w:tcBorders>
              <w:top w:val="nil"/>
              <w:left w:val="single" w:color="000000" w:sz="8" w:space="0"/>
              <w:bottom w:val="single" w:color="000000" w:sz="8" w:space="0"/>
              <w:right w:val="single" w:color="000000" w:sz="8" w:space="0"/>
            </w:tcBorders>
            <w:noWrap w:val="0"/>
            <w:tcMar>
              <w:top w:w="15" w:type="dxa"/>
              <w:left w:w="108" w:type="dxa"/>
              <w:bottom w:w="15" w:type="dxa"/>
              <w:right w:w="108" w:type="dxa"/>
            </w:tcMar>
            <w:vAlign w:val="center"/>
          </w:tcPr>
          <w:p w14:paraId="66BD535C">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496"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4999328C">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应急情况处理（10分）</w:t>
            </w:r>
          </w:p>
        </w:tc>
        <w:tc>
          <w:tcPr>
            <w:tcW w:w="577"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358A0E80">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应急保障管理</w:t>
            </w:r>
          </w:p>
        </w:tc>
        <w:tc>
          <w:tcPr>
            <w:tcW w:w="473"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3089AA81">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1379"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6F91EF2A">
            <w:pPr>
              <w:pStyle w:val="1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根据重大活动保障、灾害性天气情况，制定完备的工作预案，并根据上级指示要求，按时做好临时性应急保障工作。</w:t>
            </w:r>
          </w:p>
        </w:tc>
        <w:tc>
          <w:tcPr>
            <w:tcW w:w="1566"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7BA6A32C">
            <w:pPr>
              <w:pStyle w:val="1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没有应急预案的扣10分，预案不够完善的扣2分。未能按时做好应</w:t>
            </w:r>
            <w:r>
              <w:rPr>
                <w:rFonts w:hint="eastAsia" w:ascii="仿宋" w:hAnsi="仿宋" w:eastAsia="仿宋" w:cs="仿宋"/>
                <w:color w:val="auto"/>
                <w:sz w:val="24"/>
                <w:szCs w:val="24"/>
                <w:highlight w:val="none"/>
                <w:lang w:eastAsia="zh-CN"/>
              </w:rPr>
              <w:t>急</w:t>
            </w:r>
            <w:r>
              <w:rPr>
                <w:rFonts w:hint="eastAsia" w:ascii="仿宋" w:hAnsi="仿宋" w:eastAsia="仿宋" w:cs="仿宋"/>
                <w:color w:val="auto"/>
                <w:sz w:val="24"/>
                <w:szCs w:val="24"/>
                <w:highlight w:val="none"/>
              </w:rPr>
              <w:t>保障任务的，每发生一次扣5分。</w:t>
            </w:r>
          </w:p>
        </w:tc>
      </w:tr>
      <w:tr w14:paraId="2F470455">
        <w:tblPrEx>
          <w:tblCellMar>
            <w:top w:w="0" w:type="dxa"/>
            <w:left w:w="0" w:type="dxa"/>
            <w:bottom w:w="0" w:type="dxa"/>
            <w:right w:w="0" w:type="dxa"/>
          </w:tblCellMar>
        </w:tblPrEx>
        <w:trPr>
          <w:trHeight w:val="23" w:hRule="atLeast"/>
          <w:jc w:val="center"/>
        </w:trPr>
        <w:tc>
          <w:tcPr>
            <w:tcW w:w="506" w:type="pct"/>
            <w:vMerge w:val="restart"/>
            <w:tcBorders>
              <w:top w:val="nil"/>
              <w:left w:val="single" w:color="000000" w:sz="8" w:space="0"/>
              <w:bottom w:val="single" w:color="000000" w:sz="8" w:space="0"/>
              <w:right w:val="single" w:color="000000" w:sz="8" w:space="0"/>
            </w:tcBorders>
            <w:noWrap w:val="0"/>
            <w:tcMar>
              <w:top w:w="15" w:type="dxa"/>
              <w:left w:w="108" w:type="dxa"/>
              <w:bottom w:w="15" w:type="dxa"/>
              <w:right w:w="108" w:type="dxa"/>
            </w:tcMar>
            <w:vAlign w:val="center"/>
          </w:tcPr>
          <w:p w14:paraId="1E0C9C35">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496" w:type="pct"/>
            <w:vMerge w:val="restar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30D42768">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巡查走访管理（10分）</w:t>
            </w:r>
          </w:p>
        </w:tc>
        <w:tc>
          <w:tcPr>
            <w:tcW w:w="577"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7D8A30D3">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巡查督查</w:t>
            </w:r>
          </w:p>
        </w:tc>
        <w:tc>
          <w:tcPr>
            <w:tcW w:w="473"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33C1C7C3">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1379"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477A29E1">
            <w:pPr>
              <w:pStyle w:val="1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建立巡查制度，做好巡查日报，并将日报分月、分年汇总整理成册。</w:t>
            </w:r>
          </w:p>
        </w:tc>
        <w:tc>
          <w:tcPr>
            <w:tcW w:w="1566"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7DADCF7C">
            <w:pPr>
              <w:pStyle w:val="1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未建立巡查制度的扣5分，巡查日报台账不齐全的扣1分。</w:t>
            </w:r>
          </w:p>
        </w:tc>
      </w:tr>
      <w:tr w14:paraId="26FA4719">
        <w:tblPrEx>
          <w:tblCellMar>
            <w:top w:w="0" w:type="dxa"/>
            <w:left w:w="0" w:type="dxa"/>
            <w:bottom w:w="0" w:type="dxa"/>
            <w:right w:w="0" w:type="dxa"/>
          </w:tblCellMar>
        </w:tblPrEx>
        <w:trPr>
          <w:trHeight w:val="23" w:hRule="atLeast"/>
          <w:jc w:val="center"/>
        </w:trPr>
        <w:tc>
          <w:tcPr>
            <w:tcW w:w="506" w:type="pct"/>
            <w:vMerge w:val="continue"/>
            <w:tcBorders>
              <w:top w:val="nil"/>
              <w:left w:val="single" w:color="000000" w:sz="8" w:space="0"/>
              <w:bottom w:val="single" w:color="000000" w:sz="8" w:space="0"/>
              <w:right w:val="single" w:color="000000" w:sz="8" w:space="0"/>
            </w:tcBorders>
            <w:noWrap w:val="0"/>
            <w:vAlign w:val="center"/>
          </w:tcPr>
          <w:p w14:paraId="5CD33238">
            <w:pPr>
              <w:jc w:val="center"/>
              <w:rPr>
                <w:rFonts w:hint="eastAsia" w:ascii="仿宋" w:hAnsi="仿宋" w:eastAsia="仿宋" w:cs="仿宋"/>
                <w:color w:val="auto"/>
                <w:sz w:val="24"/>
                <w:szCs w:val="24"/>
                <w:highlight w:val="none"/>
              </w:rPr>
            </w:pPr>
          </w:p>
        </w:tc>
        <w:tc>
          <w:tcPr>
            <w:tcW w:w="496" w:type="pct"/>
            <w:vMerge w:val="continue"/>
            <w:tcBorders>
              <w:top w:val="nil"/>
              <w:left w:val="nil"/>
              <w:bottom w:val="single" w:color="000000" w:sz="8" w:space="0"/>
              <w:right w:val="single" w:color="000000" w:sz="8" w:space="0"/>
            </w:tcBorders>
            <w:noWrap w:val="0"/>
            <w:vAlign w:val="center"/>
          </w:tcPr>
          <w:p w14:paraId="2F9149EF">
            <w:pPr>
              <w:jc w:val="center"/>
              <w:rPr>
                <w:rFonts w:hint="eastAsia" w:ascii="仿宋" w:hAnsi="仿宋" w:eastAsia="仿宋" w:cs="仿宋"/>
                <w:color w:val="auto"/>
                <w:sz w:val="24"/>
                <w:szCs w:val="24"/>
                <w:highlight w:val="none"/>
              </w:rPr>
            </w:pPr>
          </w:p>
        </w:tc>
        <w:tc>
          <w:tcPr>
            <w:tcW w:w="577"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59C06DD8">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走访听取意见</w:t>
            </w:r>
          </w:p>
        </w:tc>
        <w:tc>
          <w:tcPr>
            <w:tcW w:w="473"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458C8B4F">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1379"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2DCD036B">
            <w:pPr>
              <w:pStyle w:val="1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建立联系走访制度，至少每2个月组织1次听取服务对象反馈的意见，争创优质服务。</w:t>
            </w:r>
          </w:p>
        </w:tc>
        <w:tc>
          <w:tcPr>
            <w:tcW w:w="1566"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7DB07EF5">
            <w:pPr>
              <w:pStyle w:val="1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未落实联系走访制度的扣5分，未全覆盖的扣1分。</w:t>
            </w:r>
          </w:p>
        </w:tc>
      </w:tr>
      <w:tr w14:paraId="72B8B3E5">
        <w:tblPrEx>
          <w:tblCellMar>
            <w:top w:w="0" w:type="dxa"/>
            <w:left w:w="0" w:type="dxa"/>
            <w:bottom w:w="0" w:type="dxa"/>
            <w:right w:w="0" w:type="dxa"/>
          </w:tblCellMar>
        </w:tblPrEx>
        <w:trPr>
          <w:trHeight w:val="23" w:hRule="atLeast"/>
          <w:jc w:val="center"/>
        </w:trPr>
        <w:tc>
          <w:tcPr>
            <w:tcW w:w="506" w:type="pct"/>
            <w:tcBorders>
              <w:top w:val="nil"/>
              <w:left w:val="single" w:color="000000" w:sz="8" w:space="0"/>
              <w:bottom w:val="single" w:color="000000" w:sz="8" w:space="0"/>
              <w:right w:val="single" w:color="000000" w:sz="8" w:space="0"/>
            </w:tcBorders>
            <w:noWrap w:val="0"/>
            <w:tcMar>
              <w:top w:w="15" w:type="dxa"/>
              <w:left w:w="108" w:type="dxa"/>
              <w:bottom w:w="15" w:type="dxa"/>
              <w:right w:w="108" w:type="dxa"/>
            </w:tcMar>
            <w:vAlign w:val="center"/>
          </w:tcPr>
          <w:p w14:paraId="1B255863">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496"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7481A3FF">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社会监督管理（5分）</w:t>
            </w:r>
          </w:p>
        </w:tc>
        <w:tc>
          <w:tcPr>
            <w:tcW w:w="577"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7FC3A79D">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社会评价反馈</w:t>
            </w:r>
          </w:p>
        </w:tc>
        <w:tc>
          <w:tcPr>
            <w:tcW w:w="473"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3DD9A2BB">
            <w:pPr>
              <w:pStyle w:val="1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1379"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7E08B51F">
            <w:pPr>
              <w:pStyle w:val="1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争创群众满</w:t>
            </w:r>
            <w:r>
              <w:rPr>
                <w:rFonts w:hint="eastAsia" w:ascii="仿宋" w:hAnsi="仿宋" w:eastAsia="仿宋" w:cs="仿宋"/>
                <w:color w:val="auto"/>
                <w:sz w:val="24"/>
                <w:szCs w:val="24"/>
                <w:highlight w:val="none"/>
                <w:lang w:eastAsia="zh-CN"/>
              </w:rPr>
              <w:t>意度</w:t>
            </w:r>
            <w:r>
              <w:rPr>
                <w:rFonts w:hint="eastAsia" w:ascii="仿宋" w:hAnsi="仿宋" w:eastAsia="仿宋" w:cs="仿宋"/>
                <w:color w:val="auto"/>
                <w:sz w:val="24"/>
                <w:szCs w:val="24"/>
                <w:highlight w:val="none"/>
              </w:rPr>
              <w:t>，从专业化、精细化、标准化管理入手，提高市民对清运的满意度。</w:t>
            </w:r>
          </w:p>
        </w:tc>
        <w:tc>
          <w:tcPr>
            <w:tcW w:w="1566" w:type="pct"/>
            <w:tcBorders>
              <w:top w:val="nil"/>
              <w:left w:val="nil"/>
              <w:bottom w:val="single" w:color="000000" w:sz="8" w:space="0"/>
              <w:right w:val="single" w:color="000000" w:sz="8" w:space="0"/>
            </w:tcBorders>
            <w:noWrap w:val="0"/>
            <w:tcMar>
              <w:top w:w="15" w:type="dxa"/>
              <w:left w:w="108" w:type="dxa"/>
              <w:bottom w:w="15" w:type="dxa"/>
              <w:right w:w="108" w:type="dxa"/>
            </w:tcMar>
            <w:vAlign w:val="center"/>
          </w:tcPr>
          <w:p w14:paraId="7B1A8AA1">
            <w:pPr>
              <w:pStyle w:val="1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对社会监督员、志愿者</w:t>
            </w:r>
            <w:r>
              <w:rPr>
                <w:rFonts w:hint="eastAsia" w:ascii="仿宋" w:hAnsi="仿宋" w:eastAsia="仿宋" w:cs="仿宋"/>
                <w:color w:val="auto"/>
                <w:sz w:val="24"/>
                <w:szCs w:val="24"/>
                <w:highlight w:val="none"/>
                <w:lang w:eastAsia="zh-CN"/>
              </w:rPr>
              <w:t>反映</w:t>
            </w:r>
            <w:r>
              <w:rPr>
                <w:rFonts w:hint="eastAsia" w:ascii="仿宋" w:hAnsi="仿宋" w:eastAsia="仿宋" w:cs="仿宋"/>
                <w:color w:val="auto"/>
                <w:sz w:val="24"/>
                <w:szCs w:val="24"/>
                <w:highlight w:val="none"/>
              </w:rPr>
              <w:t>的清运问题，每件扣0.5分。对新闻媒体</w:t>
            </w:r>
            <w:r>
              <w:rPr>
                <w:rFonts w:hint="eastAsia" w:ascii="仿宋" w:hAnsi="仿宋" w:eastAsia="仿宋" w:cs="仿宋"/>
                <w:color w:val="auto"/>
                <w:sz w:val="24"/>
                <w:szCs w:val="24"/>
                <w:highlight w:val="none"/>
                <w:lang w:eastAsia="zh-CN"/>
              </w:rPr>
              <w:t>反映</w:t>
            </w:r>
            <w:r>
              <w:rPr>
                <w:rFonts w:hint="eastAsia" w:ascii="仿宋" w:hAnsi="仿宋" w:eastAsia="仿宋" w:cs="仿宋"/>
                <w:color w:val="auto"/>
                <w:sz w:val="24"/>
                <w:szCs w:val="24"/>
                <w:highlight w:val="none"/>
              </w:rPr>
              <w:t>的问题，每件扣1分。未在规定时</w:t>
            </w:r>
            <w:r>
              <w:rPr>
                <w:rFonts w:hint="eastAsia" w:ascii="仿宋" w:hAnsi="仿宋" w:eastAsia="仿宋" w:cs="仿宋"/>
                <w:color w:val="auto"/>
                <w:sz w:val="24"/>
                <w:szCs w:val="24"/>
                <w:highlight w:val="none"/>
                <w:lang w:eastAsia="zh-CN"/>
              </w:rPr>
              <w:t>间内</w:t>
            </w:r>
            <w:r>
              <w:rPr>
                <w:rFonts w:hint="eastAsia" w:ascii="仿宋" w:hAnsi="仿宋" w:eastAsia="仿宋" w:cs="仿宋"/>
                <w:color w:val="auto"/>
                <w:sz w:val="24"/>
                <w:szCs w:val="24"/>
                <w:highlight w:val="none"/>
              </w:rPr>
              <w:t>完成整改的，予以加倍扣分。</w:t>
            </w:r>
          </w:p>
        </w:tc>
      </w:tr>
    </w:tbl>
    <w:p w14:paraId="2678E209">
      <w:pPr>
        <w:spacing w:line="500" w:lineRule="exact"/>
        <w:ind w:firstLine="560" w:firstLineChars="200"/>
        <w:outlineLvl w:val="1"/>
        <w:rPr>
          <w:rFonts w:ascii="黑体" w:hAnsi="黑体" w:eastAsia="黑体"/>
          <w:color w:val="auto"/>
          <w:sz w:val="28"/>
          <w:szCs w:val="28"/>
          <w:highlight w:val="none"/>
        </w:rPr>
      </w:pPr>
      <w:r>
        <w:rPr>
          <w:rFonts w:hint="eastAsia" w:ascii="黑体" w:hAnsi="黑体" w:eastAsia="黑体"/>
          <w:color w:val="auto"/>
          <w:sz w:val="28"/>
          <w:szCs w:val="28"/>
          <w:highlight w:val="none"/>
        </w:rPr>
        <w:t>七、</w:t>
      </w:r>
      <w:bookmarkEnd w:id="64"/>
      <w:bookmarkStart w:id="65" w:name="_Toc26116"/>
      <w:r>
        <w:rPr>
          <w:rFonts w:hint="eastAsia" w:ascii="黑体" w:hAnsi="黑体" w:eastAsia="黑体"/>
          <w:color w:val="auto"/>
          <w:sz w:val="28"/>
          <w:szCs w:val="28"/>
          <w:highlight w:val="none"/>
        </w:rPr>
        <w:t>付款方式</w:t>
      </w:r>
      <w:bookmarkEnd w:id="65"/>
    </w:p>
    <w:p w14:paraId="6E5C492A">
      <w:pPr>
        <w:spacing w:line="500" w:lineRule="exact"/>
        <w:ind w:firstLine="560" w:firstLineChars="200"/>
        <w:outlineLvl w:val="9"/>
        <w:rPr>
          <w:rFonts w:hint="eastAsia" w:ascii="仿宋" w:hAnsi="仿宋" w:eastAsia="仿宋" w:cs="Times New Roman"/>
          <w:color w:val="auto"/>
          <w:sz w:val="28"/>
          <w:szCs w:val="28"/>
          <w:highlight w:val="none"/>
          <w:lang w:val="en-US" w:eastAsia="zh-CN"/>
        </w:rPr>
      </w:pPr>
      <w:bookmarkStart w:id="66" w:name="_Toc32404"/>
      <w:r>
        <w:rPr>
          <w:rFonts w:hint="eastAsia" w:ascii="仿宋" w:hAnsi="仿宋" w:eastAsia="仿宋" w:cs="Times New Roman"/>
          <w:color w:val="auto"/>
          <w:sz w:val="28"/>
          <w:szCs w:val="28"/>
          <w:highlight w:val="none"/>
          <w:lang w:val="en-US" w:eastAsia="zh-CN"/>
        </w:rPr>
        <w:t>采取“每日计量、季度结算、结合季度绩效考核结果”的办法。每季度暂按垃圾转运处置服务费中标价和实际垃圾处理量的80%支付，余款于合同满一年后根据考核情况支付。</w:t>
      </w:r>
    </w:p>
    <w:p w14:paraId="0530D223">
      <w:pPr>
        <w:spacing w:line="500" w:lineRule="exact"/>
        <w:ind w:firstLine="560" w:firstLineChars="200"/>
        <w:outlineLvl w:val="1"/>
        <w:rPr>
          <w:rFonts w:ascii="仿宋" w:hAnsi="仿宋" w:eastAsia="仿宋"/>
          <w:color w:val="auto"/>
          <w:sz w:val="28"/>
          <w:szCs w:val="28"/>
          <w:highlight w:val="none"/>
        </w:rPr>
      </w:pPr>
      <w:r>
        <w:rPr>
          <w:rFonts w:hint="eastAsia" w:ascii="黑体" w:hAnsi="黑体" w:eastAsia="黑体"/>
          <w:color w:val="auto"/>
          <w:sz w:val="28"/>
          <w:szCs w:val="28"/>
          <w:highlight w:val="none"/>
          <w:lang w:val="en-US" w:eastAsia="zh-CN"/>
        </w:rPr>
        <w:t>八</w:t>
      </w:r>
      <w:r>
        <w:rPr>
          <w:rFonts w:hint="eastAsia" w:ascii="黑体" w:hAnsi="黑体" w:eastAsia="黑体"/>
          <w:color w:val="auto"/>
          <w:sz w:val="28"/>
          <w:szCs w:val="28"/>
          <w:highlight w:val="none"/>
        </w:rPr>
        <w:t>、磋商过程中可能会实质性变动的内容</w:t>
      </w:r>
      <w:bookmarkEnd w:id="66"/>
    </w:p>
    <w:p w14:paraId="77CC518B">
      <w:pPr>
        <w:spacing w:line="500" w:lineRule="exact"/>
        <w:ind w:firstLine="560" w:firstLineChars="200"/>
        <w:outlineLvl w:val="9"/>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采购需求中的技术、服务要求以及合同草案条款</w:t>
      </w:r>
      <w:r>
        <w:rPr>
          <w:rFonts w:hint="eastAsia" w:ascii="仿宋" w:hAnsi="仿宋" w:eastAsia="仿宋"/>
          <w:color w:val="auto"/>
          <w:sz w:val="28"/>
          <w:szCs w:val="28"/>
          <w:highlight w:val="none"/>
          <w:lang w:eastAsia="zh-CN"/>
        </w:rPr>
        <w:t>。</w:t>
      </w:r>
    </w:p>
    <w:p w14:paraId="2DB0DB19">
      <w:pPr>
        <w:spacing w:line="500" w:lineRule="exact"/>
        <w:ind w:firstLine="560" w:firstLineChars="200"/>
        <w:outlineLvl w:val="1"/>
        <w:rPr>
          <w:rFonts w:ascii="仿宋" w:hAnsi="仿宋" w:eastAsia="仿宋"/>
          <w:color w:val="auto"/>
          <w:sz w:val="28"/>
          <w:szCs w:val="28"/>
          <w:highlight w:val="none"/>
        </w:rPr>
      </w:pPr>
      <w:bookmarkStart w:id="67" w:name="_Toc9065"/>
      <w:r>
        <w:rPr>
          <w:rFonts w:hint="eastAsia" w:ascii="黑体" w:hAnsi="黑体" w:eastAsia="黑体"/>
          <w:color w:val="auto"/>
          <w:sz w:val="28"/>
          <w:szCs w:val="28"/>
          <w:highlight w:val="none"/>
          <w:lang w:val="en-US" w:eastAsia="zh-CN"/>
        </w:rPr>
        <w:t>九</w:t>
      </w:r>
      <w:r>
        <w:rPr>
          <w:rFonts w:hint="eastAsia" w:ascii="黑体" w:hAnsi="黑体" w:eastAsia="黑体"/>
          <w:color w:val="auto"/>
          <w:sz w:val="28"/>
          <w:szCs w:val="28"/>
          <w:highlight w:val="none"/>
        </w:rPr>
        <w:t>、其他要求</w:t>
      </w:r>
      <w:bookmarkEnd w:id="67"/>
    </w:p>
    <w:p w14:paraId="11DF8D1D">
      <w:pPr>
        <w:spacing w:line="500" w:lineRule="exact"/>
        <w:ind w:firstLine="560" w:firstLineChars="200"/>
        <w:jc w:val="lef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（一）</w:t>
      </w:r>
      <w:r>
        <w:rPr>
          <w:rFonts w:hint="eastAsia" w:ascii="仿宋" w:hAnsi="仿宋" w:eastAsia="仿宋"/>
          <w:color w:val="auto"/>
          <w:sz w:val="28"/>
          <w:szCs w:val="28"/>
          <w:highlight w:val="none"/>
          <w:lang w:val="en-US" w:eastAsia="zh-CN"/>
        </w:rPr>
        <w:t>报价要求：</w:t>
      </w:r>
    </w:p>
    <w:p w14:paraId="135DB11C">
      <w:pPr>
        <w:spacing w:line="500" w:lineRule="exact"/>
        <w:ind w:firstLine="562" w:firstLineChars="200"/>
        <w:outlineLvl w:val="9"/>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本项目按转运每吨垃圾的单价报价（元/吨），依据采购人与垃圾接受单位共同出具的“确认单”确认的吨数据实结算，每年结算总量不超过20000吨，超过部分成交人无偿服务。响应供应商</w:t>
      </w:r>
      <w:r>
        <w:rPr>
          <w:rFonts w:hint="eastAsia" w:ascii="仿宋" w:hAnsi="仿宋" w:eastAsia="仿宋"/>
          <w:b/>
          <w:bCs/>
          <w:color w:val="auto"/>
          <w:sz w:val="28"/>
          <w:szCs w:val="28"/>
          <w:highlight w:val="none"/>
        </w:rPr>
        <w:t>报价应包含运输、装卸、保险、验收、人员培训、</w:t>
      </w:r>
      <w:r>
        <w:rPr>
          <w:rFonts w:hint="eastAsia" w:ascii="仿宋" w:hAnsi="仿宋" w:eastAsia="仿宋"/>
          <w:b/>
          <w:bCs/>
          <w:color w:val="auto"/>
          <w:sz w:val="28"/>
          <w:szCs w:val="28"/>
          <w:highlight w:val="none"/>
          <w:lang w:val="en-US" w:eastAsia="zh-CN"/>
        </w:rPr>
        <w:t>设备运行维护、</w:t>
      </w:r>
      <w:r>
        <w:rPr>
          <w:rFonts w:hint="eastAsia" w:ascii="仿宋" w:hAnsi="仿宋" w:eastAsia="仿宋"/>
          <w:b/>
          <w:bCs/>
          <w:color w:val="auto"/>
          <w:sz w:val="28"/>
          <w:szCs w:val="28"/>
          <w:highlight w:val="none"/>
        </w:rPr>
        <w:t>检验、税金、代理服务费等与本项目相关的一切费用。成交价之外采购人不再支付任何费用。</w:t>
      </w:r>
    </w:p>
    <w:p w14:paraId="4771A651">
      <w:pPr>
        <w:keepNext w:val="0"/>
        <w:keepLines w:val="0"/>
        <w:widowControl w:val="0"/>
        <w:suppressLineNumbers w:val="0"/>
        <w:autoSpaceDE w:val="0"/>
        <w:autoSpaceDN/>
        <w:adjustRightInd w:val="0"/>
        <w:snapToGrid w:val="0"/>
        <w:spacing w:before="0" w:beforeAutospacing="0" w:after="0" w:afterAutospacing="0" w:line="520" w:lineRule="exact"/>
        <w:ind w:left="0" w:right="0" w:firstLine="560" w:firstLineChars="200"/>
        <w:jc w:val="both"/>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（二）报价含响应供应商为完成采购文件全部要求内容应承担的一切成本、费用和支出以及供应商的合理利润等交付使用前一切费用。不接受选择性报价。</w:t>
      </w:r>
    </w:p>
    <w:p w14:paraId="39BF256E">
      <w:pPr>
        <w:spacing w:line="500" w:lineRule="exact"/>
        <w:ind w:firstLine="560" w:firstLineChars="200"/>
        <w:jc w:val="left"/>
        <w:rPr>
          <w:rFonts w:hint="default" w:ascii="仿宋" w:hAnsi="仿宋" w:eastAsia="仿宋"/>
          <w:b/>
          <w:bCs/>
          <w:color w:val="auto"/>
          <w:sz w:val="28"/>
          <w:szCs w:val="28"/>
          <w:highlight w:val="none"/>
          <w:lang w:val="en-US" w:eastAsia="zh-CN"/>
        </w:rPr>
      </w:pPr>
      <w:r>
        <w:rPr>
          <w:rFonts w:hint="eastAsia" w:ascii="仿宋" w:hAnsi="仿宋" w:eastAsia="仿宋"/>
          <w:color w:val="auto"/>
          <w:sz w:val="28"/>
          <w:szCs w:val="28"/>
          <w:highlight w:val="none"/>
        </w:rPr>
        <w:t>（三）</w:t>
      </w:r>
      <w:r>
        <w:rPr>
          <w:rFonts w:hint="eastAsia" w:ascii="仿宋" w:hAnsi="仿宋" w:eastAsia="仿宋"/>
          <w:color w:val="auto"/>
          <w:sz w:val="28"/>
          <w:szCs w:val="28"/>
          <w:highlight w:val="none"/>
          <w:lang w:val="en-US" w:eastAsia="zh-CN"/>
        </w:rPr>
        <w:t>响应</w:t>
      </w:r>
      <w:r>
        <w:rPr>
          <w:rFonts w:hint="eastAsia" w:ascii="仿宋" w:hAnsi="仿宋" w:eastAsia="仿宋"/>
          <w:color w:val="auto"/>
          <w:sz w:val="28"/>
          <w:szCs w:val="28"/>
          <w:highlight w:val="none"/>
        </w:rPr>
        <w:t>供应商</w:t>
      </w:r>
      <w:r>
        <w:rPr>
          <w:rFonts w:hint="eastAsia" w:ascii="仿宋" w:hAnsi="仿宋" w:eastAsia="仿宋"/>
          <w:color w:val="auto"/>
          <w:sz w:val="28"/>
          <w:szCs w:val="28"/>
          <w:highlight w:val="none"/>
          <w:lang w:val="en-US" w:eastAsia="zh-CN"/>
        </w:rPr>
        <w:t>成交</w:t>
      </w:r>
      <w:r>
        <w:rPr>
          <w:rFonts w:hint="eastAsia" w:ascii="仿宋" w:hAnsi="仿宋" w:eastAsia="仿宋"/>
          <w:color w:val="auto"/>
          <w:sz w:val="28"/>
          <w:szCs w:val="28"/>
          <w:highlight w:val="none"/>
        </w:rPr>
        <w:t>后不得将</w:t>
      </w:r>
      <w:r>
        <w:rPr>
          <w:rFonts w:hint="eastAsia" w:ascii="仿宋" w:hAnsi="仿宋" w:eastAsia="仿宋"/>
          <w:color w:val="auto"/>
          <w:sz w:val="28"/>
          <w:szCs w:val="28"/>
          <w:highlight w:val="none"/>
          <w:lang w:val="en-US" w:eastAsia="zh-CN"/>
        </w:rPr>
        <w:t>成交</w:t>
      </w:r>
      <w:r>
        <w:rPr>
          <w:rFonts w:hint="eastAsia" w:ascii="仿宋" w:hAnsi="仿宋" w:eastAsia="仿宋"/>
          <w:color w:val="auto"/>
          <w:sz w:val="28"/>
          <w:szCs w:val="28"/>
          <w:highlight w:val="none"/>
        </w:rPr>
        <w:t>项目分包或者转让给其他主体实施。</w:t>
      </w:r>
    </w:p>
    <w:p w14:paraId="0353F130">
      <w:pPr>
        <w:widowControl/>
        <w:shd w:val="clear" w:color="auto" w:fill="FFFFFF"/>
        <w:snapToGrid w:val="0"/>
        <w:spacing w:line="500" w:lineRule="exact"/>
        <w:ind w:firstLine="560" w:firstLineChars="200"/>
        <w:contextualSpacing/>
        <w:rPr>
          <w:rFonts w:ascii="仿宋" w:hAnsi="仿宋" w:eastAsia="仿宋"/>
          <w:color w:val="auto"/>
          <w:sz w:val="28"/>
          <w:szCs w:val="28"/>
          <w:highlight w:val="none"/>
        </w:rPr>
      </w:pPr>
    </w:p>
    <w:p w14:paraId="09F9033B">
      <w:pPr>
        <w:widowControl/>
        <w:shd w:val="clear" w:color="auto" w:fill="FFFFFF"/>
        <w:snapToGrid w:val="0"/>
        <w:ind w:firstLine="560" w:firstLineChars="200"/>
        <w:contextualSpacing/>
        <w:rPr>
          <w:rFonts w:ascii="仿宋" w:hAnsi="仿宋" w:eastAsia="仿宋"/>
          <w:color w:val="auto"/>
          <w:sz w:val="28"/>
          <w:szCs w:val="28"/>
          <w:highlight w:val="none"/>
          <w:u w:val="single"/>
        </w:rPr>
      </w:pPr>
    </w:p>
    <w:p w14:paraId="2D3EC695">
      <w:pPr>
        <w:rPr>
          <w:rFonts w:hint="eastAsia"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br w:type="page"/>
      </w:r>
    </w:p>
    <w:bookmarkEnd w:id="57"/>
    <w:p w14:paraId="4833A10E">
      <w:pPr>
        <w:pStyle w:val="25"/>
        <w:spacing w:line="240" w:lineRule="auto"/>
        <w:ind w:firstLine="0"/>
        <w:jc w:val="center"/>
        <w:outlineLvl w:val="0"/>
        <w:rPr>
          <w:rFonts w:ascii="方正小标宋简体" w:eastAsia="方正小标宋简体"/>
          <w:bCs/>
          <w:color w:val="auto"/>
          <w:sz w:val="32"/>
          <w:szCs w:val="32"/>
          <w:highlight w:val="none"/>
        </w:rPr>
      </w:pPr>
      <w:bookmarkStart w:id="68" w:name="_Toc2962"/>
      <w:bookmarkStart w:id="69" w:name="_Toc6472"/>
      <w:r>
        <w:rPr>
          <w:rFonts w:hint="eastAsia" w:ascii="方正小标宋简体" w:eastAsia="方正小标宋简体"/>
          <w:bCs/>
          <w:color w:val="auto"/>
          <w:sz w:val="32"/>
          <w:szCs w:val="32"/>
          <w:highlight w:val="none"/>
        </w:rPr>
        <w:t>第4章 合同文本</w:t>
      </w:r>
      <w:bookmarkEnd w:id="68"/>
    </w:p>
    <w:p w14:paraId="4730317C">
      <w:pPr>
        <w:widowControl/>
        <w:snapToGrid w:val="0"/>
        <w:spacing w:before="19"/>
        <w:jc w:val="center"/>
        <w:rPr>
          <w:rFonts w:ascii="方正小标宋简体" w:eastAsia="方正小标宋简体"/>
          <w:color w:val="auto"/>
          <w:sz w:val="32"/>
          <w:szCs w:val="32"/>
          <w:highlight w:val="none"/>
        </w:rPr>
      </w:pPr>
      <w:r>
        <w:rPr>
          <w:rFonts w:hint="eastAsia" w:ascii="方正小标宋简体" w:eastAsia="方正小标宋简体"/>
          <w:color w:val="auto"/>
          <w:sz w:val="32"/>
          <w:szCs w:val="32"/>
          <w:highlight w:val="none"/>
        </w:rPr>
        <w:t>如皋市政府采购合同</w:t>
      </w:r>
    </w:p>
    <w:p w14:paraId="5932F506">
      <w:pPr>
        <w:ind w:firstLine="640" w:firstLineChars="200"/>
        <w:rPr>
          <w:rFonts w:hint="eastAsia" w:ascii="仿宋" w:hAnsi="仿宋" w:eastAsia="仿宋"/>
          <w:color w:val="auto"/>
          <w:sz w:val="32"/>
          <w:szCs w:val="32"/>
          <w:highlight w:val="none"/>
          <w:lang w:val="en-US" w:eastAsia="zh-CN"/>
        </w:rPr>
      </w:pPr>
      <w:r>
        <w:rPr>
          <w:rFonts w:hint="eastAsia" w:ascii="仿宋" w:hAnsi="仿宋" w:eastAsia="仿宋"/>
          <w:color w:val="auto"/>
          <w:sz w:val="32"/>
          <w:szCs w:val="32"/>
          <w:highlight w:val="none"/>
        </w:rPr>
        <w:t>项目名称：</w:t>
      </w:r>
    </w:p>
    <w:p w14:paraId="50D61AAB">
      <w:pPr>
        <w:ind w:firstLine="640" w:firstLineChars="200"/>
        <w:rPr>
          <w:rFonts w:hint="eastAsia" w:ascii="仿宋" w:hAnsi="仿宋" w:eastAsia="仿宋"/>
          <w:color w:val="auto"/>
          <w:sz w:val="32"/>
          <w:szCs w:val="32"/>
          <w:highlight w:val="none"/>
          <w:u w:val="single"/>
          <w:lang w:val="en-US" w:eastAsia="zh-CN"/>
        </w:rPr>
      </w:pPr>
      <w:r>
        <w:rPr>
          <w:rFonts w:hint="eastAsia" w:ascii="仿宋" w:hAnsi="仿宋" w:eastAsia="仿宋"/>
          <w:color w:val="auto"/>
          <w:sz w:val="32"/>
          <w:szCs w:val="32"/>
          <w:highlight w:val="none"/>
        </w:rPr>
        <w:t>项目编号：</w:t>
      </w:r>
    </w:p>
    <w:p w14:paraId="37184791">
      <w:pPr>
        <w:ind w:firstLine="640" w:firstLineChars="200"/>
        <w:rPr>
          <w:rFonts w:hint="eastAsia" w:ascii="仿宋" w:hAnsi="仿宋" w:eastAsia="仿宋"/>
          <w:color w:val="auto"/>
          <w:sz w:val="32"/>
          <w:szCs w:val="32"/>
          <w:highlight w:val="none"/>
          <w:u w:val="single"/>
          <w:lang w:val="en-US" w:eastAsia="zh-CN"/>
        </w:rPr>
      </w:pPr>
      <w:r>
        <w:rPr>
          <w:rFonts w:hint="eastAsia" w:ascii="仿宋" w:hAnsi="仿宋" w:eastAsia="仿宋"/>
          <w:color w:val="auto"/>
          <w:sz w:val="32"/>
          <w:szCs w:val="32"/>
          <w:highlight w:val="none"/>
        </w:rPr>
        <w:t>甲方：</w:t>
      </w:r>
    </w:p>
    <w:p w14:paraId="68ACA17D">
      <w:pPr>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乙方：</w:t>
      </w:r>
    </w:p>
    <w:p w14:paraId="2673BB5C">
      <w:pPr>
        <w:rPr>
          <w:rFonts w:ascii="仿宋_GB2312" w:hAnsi="宋体" w:eastAsia="仿宋_GB2312"/>
          <w:color w:val="auto"/>
          <w:sz w:val="32"/>
          <w:szCs w:val="32"/>
          <w:highlight w:val="none"/>
        </w:rPr>
      </w:pPr>
    </w:p>
    <w:p w14:paraId="3808FA91">
      <w:pPr>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签订时间：      年    月    日</w:t>
      </w:r>
    </w:p>
    <w:p w14:paraId="0BABA697">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w:t>
      </w:r>
      <w:r>
        <w:rPr>
          <w:rFonts w:hint="eastAsia" w:ascii="仿宋" w:hAnsi="仿宋" w:eastAsia="仿宋"/>
          <w:color w:val="auto"/>
          <w:sz w:val="24"/>
          <w:highlight w:val="none"/>
          <w:lang w:val="en-US" w:eastAsia="zh-CN"/>
        </w:rPr>
        <w:t xml:space="preserve">   </w:t>
      </w:r>
      <w:r>
        <w:rPr>
          <w:rFonts w:hint="eastAsia" w:ascii="仿宋" w:hAnsi="仿宋" w:eastAsia="仿宋"/>
          <w:color w:val="auto"/>
          <w:sz w:val="24"/>
          <w:highlight w:val="none"/>
        </w:rPr>
        <w:t>）（</w:t>
      </w:r>
      <w:r>
        <w:rPr>
          <w:rFonts w:hint="eastAsia" w:ascii="仿宋" w:hAnsi="仿宋" w:eastAsia="仿宋"/>
          <w:color w:val="auto"/>
          <w:sz w:val="24"/>
          <w:highlight w:val="none"/>
          <w:lang w:val="en-US" w:eastAsia="zh-CN"/>
        </w:rPr>
        <w:t xml:space="preserve">    </w:t>
      </w:r>
      <w:r>
        <w:rPr>
          <w:rFonts w:hint="eastAsia" w:ascii="仿宋" w:hAnsi="仿宋" w:eastAsia="仿宋"/>
          <w:color w:val="auto"/>
          <w:sz w:val="24"/>
          <w:highlight w:val="none"/>
        </w:rPr>
        <w:t>项目）委托（南通</w:t>
      </w:r>
      <w:r>
        <w:rPr>
          <w:rFonts w:hint="eastAsia" w:ascii="仿宋" w:hAnsi="仿宋" w:eastAsia="仿宋"/>
          <w:color w:val="auto"/>
          <w:sz w:val="24"/>
          <w:highlight w:val="none"/>
          <w:lang w:val="en-US" w:eastAsia="zh-CN"/>
        </w:rPr>
        <w:t>中江工程</w:t>
      </w:r>
      <w:r>
        <w:rPr>
          <w:rFonts w:hint="eastAsia" w:ascii="仿宋" w:hAnsi="仿宋" w:eastAsia="仿宋"/>
          <w:color w:val="auto"/>
          <w:sz w:val="24"/>
          <w:highlight w:val="none"/>
        </w:rPr>
        <w:t>项目管理有限公司）进行了政府采购。按照评委会评审推荐、甲方确定乙方为成交单位。现甲乙双方协商同意签订本合同。</w:t>
      </w:r>
    </w:p>
    <w:p w14:paraId="0B61FD29">
      <w:pPr>
        <w:numPr>
          <w:ilvl w:val="0"/>
          <w:numId w:val="1"/>
        </w:numPr>
        <w:tabs>
          <w:tab w:val="left" w:pos="0"/>
          <w:tab w:val="clear" w:pos="720"/>
        </w:tabs>
        <w:ind w:left="0" w:firstLine="482" w:firstLineChars="200"/>
        <w:rPr>
          <w:rFonts w:ascii="仿宋" w:hAnsi="仿宋" w:eastAsia="仿宋"/>
          <w:b/>
          <w:color w:val="auto"/>
          <w:sz w:val="24"/>
          <w:highlight w:val="none"/>
        </w:rPr>
      </w:pPr>
      <w:r>
        <w:rPr>
          <w:rFonts w:hint="eastAsia" w:ascii="仿宋" w:hAnsi="仿宋" w:eastAsia="仿宋"/>
          <w:b/>
          <w:color w:val="auto"/>
          <w:sz w:val="24"/>
          <w:highlight w:val="none"/>
        </w:rPr>
        <w:t xml:space="preserve"> 合同文件</w:t>
      </w:r>
    </w:p>
    <w:p w14:paraId="1839D01C">
      <w:pPr>
        <w:ind w:firstLine="480" w:firstLineChars="200"/>
        <w:rPr>
          <w:rFonts w:ascii="仿宋" w:hAnsi="仿宋" w:eastAsia="仿宋"/>
          <w:color w:val="auto"/>
          <w:sz w:val="24"/>
          <w:highlight w:val="none"/>
        </w:rPr>
      </w:pPr>
      <w:r>
        <w:rPr>
          <w:rFonts w:ascii="仿宋" w:hAnsi="仿宋" w:eastAsia="仿宋"/>
          <w:color w:val="auto"/>
          <w:sz w:val="24"/>
          <w:highlight w:val="none"/>
        </w:rPr>
        <w:t>下列与本次采购活动</w:t>
      </w:r>
      <w:r>
        <w:rPr>
          <w:rFonts w:hint="eastAsia" w:ascii="仿宋" w:hAnsi="仿宋" w:eastAsia="仿宋"/>
          <w:color w:val="auto"/>
          <w:sz w:val="24"/>
          <w:highlight w:val="none"/>
        </w:rPr>
        <w:t>有关</w:t>
      </w:r>
      <w:r>
        <w:rPr>
          <w:rFonts w:ascii="仿宋" w:hAnsi="仿宋" w:eastAsia="仿宋"/>
          <w:color w:val="auto"/>
          <w:sz w:val="24"/>
          <w:highlight w:val="none"/>
        </w:rPr>
        <w:t>的文件及附件是本合同不可分割的组成部分，与本合同具有同等法律效力，这些文件包括但不限于：</w:t>
      </w:r>
    </w:p>
    <w:p w14:paraId="29E13A55">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1.采购文件；</w:t>
      </w:r>
    </w:p>
    <w:p w14:paraId="1CB5CCFF">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2.竞争性磋商响应文件；</w:t>
      </w:r>
    </w:p>
    <w:p w14:paraId="66A24C23">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3.乙方在参加采购活动时的书面承诺；</w:t>
      </w:r>
    </w:p>
    <w:p w14:paraId="6820B408">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4.中标（成交）通知书；</w:t>
      </w:r>
    </w:p>
    <w:p w14:paraId="04B4C5AF">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5.合同补充条款或说明；</w:t>
      </w:r>
    </w:p>
    <w:p w14:paraId="51E5BD3B">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6.保密协议或条款；</w:t>
      </w:r>
    </w:p>
    <w:p w14:paraId="5CCC3F44">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7.相关附件、图纸及电子版资料。</w:t>
      </w:r>
    </w:p>
    <w:p w14:paraId="6DDA05A4">
      <w:pPr>
        <w:ind w:left="482"/>
        <w:rPr>
          <w:rFonts w:ascii="仿宋" w:hAnsi="仿宋" w:eastAsia="仿宋"/>
          <w:b/>
          <w:color w:val="auto"/>
          <w:sz w:val="24"/>
          <w:highlight w:val="none"/>
        </w:rPr>
      </w:pPr>
      <w:r>
        <w:rPr>
          <w:rFonts w:hint="eastAsia" w:ascii="仿宋" w:hAnsi="仿宋" w:eastAsia="仿宋"/>
          <w:b/>
          <w:color w:val="auto"/>
          <w:sz w:val="24"/>
          <w:highlight w:val="none"/>
        </w:rPr>
        <w:t>第二条  合同内容</w:t>
      </w:r>
    </w:p>
    <w:p w14:paraId="4CC79A77">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 xml:space="preserve">服务名称：详见合同附件中《服务一览表》  </w:t>
      </w:r>
    </w:p>
    <w:p w14:paraId="7DD26747">
      <w:pPr>
        <w:ind w:left="482"/>
        <w:rPr>
          <w:rFonts w:ascii="仿宋" w:hAnsi="仿宋" w:eastAsia="仿宋"/>
          <w:b/>
          <w:color w:val="auto"/>
          <w:sz w:val="24"/>
          <w:highlight w:val="none"/>
        </w:rPr>
      </w:pPr>
      <w:r>
        <w:rPr>
          <w:rFonts w:hint="eastAsia" w:ascii="仿宋" w:hAnsi="仿宋" w:eastAsia="仿宋"/>
          <w:b/>
          <w:color w:val="auto"/>
          <w:sz w:val="24"/>
          <w:highlight w:val="none"/>
        </w:rPr>
        <w:t>第三条  合同总金额</w:t>
      </w:r>
    </w:p>
    <w:p w14:paraId="7A6DC039">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本合同服务总金额：￥元。</w:t>
      </w:r>
    </w:p>
    <w:p w14:paraId="0A0E3C6E">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大写：元。</w:t>
      </w:r>
    </w:p>
    <w:p w14:paraId="782D39B5">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分项价款在《服务一览表》中有明确规定。</w:t>
      </w:r>
    </w:p>
    <w:p w14:paraId="72439047">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本合同总价款包括服务期间必须的日常易耗品、工具、调试费、培训费等相关费用。</w:t>
      </w:r>
    </w:p>
    <w:p w14:paraId="043C1914">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本合同执行期内因工作量变化而引起的服务费用的变动，在双方事先协商一致的前提下签订补充合同，但因此而增加的服务费用不得超过原成交金额的10%。</w:t>
      </w:r>
    </w:p>
    <w:p w14:paraId="03B2C018">
      <w:pPr>
        <w:ind w:left="482"/>
        <w:rPr>
          <w:rFonts w:ascii="仿宋" w:hAnsi="仿宋" w:eastAsia="仿宋"/>
          <w:b/>
          <w:color w:val="auto"/>
          <w:sz w:val="24"/>
          <w:highlight w:val="none"/>
        </w:rPr>
      </w:pPr>
      <w:r>
        <w:rPr>
          <w:rFonts w:hint="eastAsia" w:ascii="仿宋" w:hAnsi="仿宋" w:eastAsia="仿宋"/>
          <w:b/>
          <w:color w:val="auto"/>
          <w:sz w:val="24"/>
          <w:highlight w:val="none"/>
        </w:rPr>
        <w:t>第四条  权利义务和质量保证</w:t>
      </w:r>
    </w:p>
    <w:p w14:paraId="466A802D">
      <w:pPr>
        <w:pStyle w:val="6"/>
        <w:tabs>
          <w:tab w:val="left" w:pos="0"/>
        </w:tabs>
        <w:spacing w:line="24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p>
    <w:p w14:paraId="68110613">
      <w:pPr>
        <w:pStyle w:val="6"/>
        <w:spacing w:line="240" w:lineRule="auto"/>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2.乙方保证所提供的服务或其任何一部分均不会侵犯任何第三方的专利权、商标权或著作权。</w:t>
      </w:r>
      <w:r>
        <w:rPr>
          <w:rFonts w:ascii="仿宋" w:hAnsi="仿宋" w:eastAsia="仿宋"/>
          <w:color w:val="auto"/>
          <w:sz w:val="24"/>
          <w:szCs w:val="24"/>
          <w:highlight w:val="none"/>
        </w:rPr>
        <w:t>一旦出现侵权，</w:t>
      </w:r>
      <w:r>
        <w:rPr>
          <w:rFonts w:hint="eastAsia" w:ascii="仿宋" w:hAnsi="仿宋" w:eastAsia="仿宋"/>
          <w:color w:val="auto"/>
          <w:sz w:val="24"/>
          <w:szCs w:val="24"/>
          <w:highlight w:val="none"/>
        </w:rPr>
        <w:t>索赔或诉讼</w:t>
      </w:r>
      <w:r>
        <w:rPr>
          <w:rFonts w:ascii="仿宋" w:hAnsi="仿宋" w:eastAsia="仿宋"/>
          <w:color w:val="auto"/>
          <w:sz w:val="24"/>
          <w:szCs w:val="24"/>
          <w:highlight w:val="none"/>
        </w:rPr>
        <w:t>，乙方应承担全部责任。</w:t>
      </w:r>
      <w:r>
        <w:rPr>
          <w:rFonts w:hint="eastAsia" w:ascii="仿宋" w:hAnsi="仿宋" w:eastAsia="仿宋"/>
          <w:color w:val="auto"/>
          <w:sz w:val="24"/>
          <w:szCs w:val="24"/>
          <w:highlight w:val="none"/>
        </w:rPr>
        <w:t>乙方保证服务不存在危及人身及财产安全的隐患，不存在违反国家法规、法令、法律以及行业规范所要求的有关安全条款，否则应承担全部法律责任。</w:t>
      </w:r>
    </w:p>
    <w:p w14:paraId="6E805DEB">
      <w:pPr>
        <w:ind w:left="482"/>
        <w:rPr>
          <w:rFonts w:ascii="仿宋" w:hAnsi="仿宋" w:eastAsia="仿宋"/>
          <w:b/>
          <w:color w:val="auto"/>
          <w:sz w:val="24"/>
          <w:highlight w:val="none"/>
        </w:rPr>
      </w:pPr>
      <w:r>
        <w:rPr>
          <w:rFonts w:hint="eastAsia" w:ascii="仿宋" w:hAnsi="仿宋" w:eastAsia="仿宋"/>
          <w:b/>
          <w:color w:val="auto"/>
          <w:sz w:val="24"/>
          <w:highlight w:val="none"/>
        </w:rPr>
        <w:t>第五条  付款方式</w:t>
      </w:r>
    </w:p>
    <w:p w14:paraId="7F27FFA1">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1.本合同项下所有款项均以人民币支付。</w:t>
      </w:r>
    </w:p>
    <w:p w14:paraId="6642CEBA">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2.乙方向甲方提交下列文件材料，经甲方审核无误后支付采购资金：</w:t>
      </w:r>
    </w:p>
    <w:p w14:paraId="1E794FD8">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（1）经甲方确认的发票；</w:t>
      </w:r>
    </w:p>
    <w:p w14:paraId="178ABFD1">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（2）经甲乙双方确认签订的《验收报告》（或按项目进度阶段性《验收报告》）；</w:t>
      </w:r>
    </w:p>
    <w:p w14:paraId="62030107">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（3）其他材料。</w:t>
      </w:r>
    </w:p>
    <w:p w14:paraId="1A0C5795">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3.款项的支付进度以招标采购文件的有关规定为准。如招标采购文件未作特别规定，则付款进度应符合如下约定：</w:t>
      </w:r>
    </w:p>
    <w:p w14:paraId="358A1C4D">
      <w:pPr>
        <w:ind w:firstLine="482" w:firstLineChars="200"/>
        <w:rPr>
          <w:rFonts w:hint="eastAsia" w:ascii="仿宋" w:hAnsi="仿宋" w:eastAsia="仿宋"/>
          <w:b/>
          <w:bCs/>
          <w:color w:val="auto"/>
          <w:sz w:val="24"/>
          <w:highlight w:val="none"/>
          <w:lang w:val="en-US" w:eastAsia="zh-CN"/>
        </w:rPr>
      </w:pPr>
      <w:r>
        <w:rPr>
          <w:rFonts w:hint="eastAsia" w:ascii="仿宋" w:hAnsi="仿宋" w:eastAsia="仿宋"/>
          <w:b/>
          <w:bCs/>
          <w:color w:val="auto"/>
          <w:sz w:val="24"/>
          <w:highlight w:val="none"/>
          <w:lang w:val="en-US" w:eastAsia="zh-CN"/>
        </w:rPr>
        <w:t>采取“每日计量、季度结算、结合季度绩效考核结果”的办法。每季度暂按垃圾转运处置服务费中标价和实际垃圾处理量的80%支付，余款于合同满一年后根据考核情况支付。</w:t>
      </w:r>
    </w:p>
    <w:p w14:paraId="56667457">
      <w:pPr>
        <w:ind w:left="482"/>
        <w:rPr>
          <w:rFonts w:ascii="仿宋" w:hAnsi="仿宋" w:eastAsia="仿宋"/>
          <w:b/>
          <w:color w:val="auto"/>
          <w:sz w:val="24"/>
          <w:highlight w:val="none"/>
        </w:rPr>
      </w:pPr>
      <w:r>
        <w:rPr>
          <w:rFonts w:hint="eastAsia" w:ascii="仿宋" w:hAnsi="仿宋" w:eastAsia="仿宋"/>
          <w:b/>
          <w:color w:val="auto"/>
          <w:sz w:val="24"/>
          <w:highlight w:val="none"/>
        </w:rPr>
        <w:t>第六条  验收</w:t>
      </w:r>
    </w:p>
    <w:p w14:paraId="7E184357">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1.服务期限：  至 。</w:t>
      </w:r>
    </w:p>
    <w:p w14:paraId="1E3CE17B">
      <w:pPr>
        <w:ind w:firstLine="720" w:firstLineChars="300"/>
        <w:rPr>
          <w:rFonts w:ascii="仿宋" w:hAnsi="仿宋" w:eastAsia="仿宋"/>
          <w:color w:val="auto"/>
          <w:sz w:val="24"/>
          <w:highlight w:val="none"/>
        </w:rPr>
      </w:pPr>
      <w:r>
        <w:rPr>
          <w:rFonts w:hint="eastAsia" w:ascii="仿宋" w:hAnsi="仿宋" w:eastAsia="仿宋"/>
          <w:color w:val="auto"/>
          <w:sz w:val="24"/>
          <w:highlight w:val="none"/>
        </w:rPr>
        <w:t>服务地点： 。</w:t>
      </w:r>
    </w:p>
    <w:p w14:paraId="1F29EC7D">
      <w:pPr>
        <w:ind w:firstLine="720" w:firstLineChars="300"/>
        <w:rPr>
          <w:rFonts w:ascii="仿宋" w:hAnsi="仿宋" w:eastAsia="仿宋"/>
          <w:color w:val="auto"/>
          <w:sz w:val="24"/>
          <w:highlight w:val="none"/>
          <w:u w:val="single"/>
        </w:rPr>
      </w:pPr>
      <w:r>
        <w:rPr>
          <w:rFonts w:hint="eastAsia" w:ascii="仿宋" w:hAnsi="仿宋" w:eastAsia="仿宋"/>
          <w:color w:val="auto"/>
          <w:sz w:val="24"/>
          <w:highlight w:val="none"/>
        </w:rPr>
        <w:t>验收时间： 。</w:t>
      </w:r>
    </w:p>
    <w:p w14:paraId="3B5CAF49">
      <w:pPr>
        <w:ind w:firstLine="720" w:firstLineChars="300"/>
        <w:rPr>
          <w:rFonts w:ascii="仿宋" w:hAnsi="仿宋" w:eastAsia="仿宋"/>
          <w:color w:val="auto"/>
          <w:sz w:val="24"/>
          <w:highlight w:val="none"/>
        </w:rPr>
      </w:pPr>
      <w:r>
        <w:rPr>
          <w:rFonts w:hint="eastAsia" w:ascii="仿宋" w:hAnsi="仿宋" w:eastAsia="仿宋"/>
          <w:color w:val="auto"/>
          <w:sz w:val="24"/>
          <w:highlight w:val="none"/>
        </w:rPr>
        <w:t>验收地点： 。</w:t>
      </w:r>
    </w:p>
    <w:p w14:paraId="70E502D7">
      <w:pPr>
        <w:pStyle w:val="6"/>
        <w:numPr>
          <w:ilvl w:val="0"/>
          <w:numId w:val="2"/>
        </w:numPr>
        <w:tabs>
          <w:tab w:val="left" w:pos="0"/>
        </w:tabs>
        <w:spacing w:line="240" w:lineRule="auto"/>
        <w:ind w:firstLine="480" w:firstLineChars="20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乙方应对提供的服务成果作出全面自查和整理，并列出清单，作为甲方验收和使用的服务条件依据，清单应随提供的服务成果交给甲方。</w:t>
      </w:r>
    </w:p>
    <w:p w14:paraId="0CFC08C9">
      <w:pPr>
        <w:pStyle w:val="6"/>
        <w:numPr>
          <w:ilvl w:val="0"/>
          <w:numId w:val="0"/>
        </w:numPr>
        <w:tabs>
          <w:tab w:val="left" w:pos="0"/>
        </w:tabs>
        <w:spacing w:line="24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3.验收时，甲乙双方必须同时在场，</w:t>
      </w:r>
      <w:r>
        <w:rPr>
          <w:rFonts w:ascii="仿宋" w:hAnsi="仿宋" w:eastAsia="仿宋"/>
          <w:color w:val="auto"/>
          <w:sz w:val="24"/>
          <w:highlight w:val="none"/>
        </w:rPr>
        <w:t>乙方所</w:t>
      </w:r>
      <w:r>
        <w:rPr>
          <w:rFonts w:hint="eastAsia" w:ascii="仿宋" w:hAnsi="仿宋" w:eastAsia="仿宋"/>
          <w:color w:val="auto"/>
          <w:sz w:val="24"/>
          <w:highlight w:val="none"/>
        </w:rPr>
        <w:t>提供</w:t>
      </w:r>
      <w:r>
        <w:rPr>
          <w:rFonts w:ascii="仿宋" w:hAnsi="仿宋" w:eastAsia="仿宋"/>
          <w:color w:val="auto"/>
          <w:sz w:val="24"/>
          <w:highlight w:val="none"/>
        </w:rPr>
        <w:t>的</w:t>
      </w:r>
      <w:r>
        <w:rPr>
          <w:rFonts w:hint="eastAsia" w:ascii="仿宋" w:hAnsi="仿宋" w:eastAsia="仿宋"/>
          <w:color w:val="auto"/>
          <w:sz w:val="24"/>
          <w:highlight w:val="none"/>
        </w:rPr>
        <w:t>服务</w:t>
      </w:r>
      <w:r>
        <w:rPr>
          <w:rFonts w:ascii="仿宋" w:hAnsi="仿宋" w:eastAsia="仿宋"/>
          <w:color w:val="auto"/>
          <w:sz w:val="24"/>
          <w:highlight w:val="none"/>
        </w:rPr>
        <w:t>不符合合同</w:t>
      </w:r>
      <w:r>
        <w:rPr>
          <w:rFonts w:hint="eastAsia" w:ascii="仿宋" w:hAnsi="仿宋" w:eastAsia="仿宋"/>
          <w:color w:val="auto"/>
          <w:sz w:val="24"/>
          <w:highlight w:val="none"/>
        </w:rPr>
        <w:t>内容</w:t>
      </w:r>
      <w:r>
        <w:rPr>
          <w:rFonts w:ascii="仿宋" w:hAnsi="仿宋" w:eastAsia="仿宋"/>
          <w:color w:val="auto"/>
          <w:sz w:val="24"/>
          <w:highlight w:val="none"/>
        </w:rPr>
        <w:t>规定的，甲方有权</w:t>
      </w:r>
      <w:r>
        <w:rPr>
          <w:rFonts w:hint="eastAsia" w:ascii="仿宋" w:hAnsi="仿宋" w:eastAsia="仿宋"/>
          <w:color w:val="auto"/>
          <w:sz w:val="24"/>
          <w:highlight w:val="none"/>
        </w:rPr>
        <w:t>拒绝验收。乙方应及时按本合同内容规定和甲方要求免费进行整改，直至验收合格，方视为乙方按本合同规定完成服务</w:t>
      </w:r>
      <w:r>
        <w:rPr>
          <w:rFonts w:ascii="仿宋" w:hAnsi="仿宋" w:eastAsia="仿宋"/>
          <w:color w:val="auto"/>
          <w:sz w:val="24"/>
          <w:highlight w:val="none"/>
        </w:rPr>
        <w:t>。</w:t>
      </w:r>
      <w:r>
        <w:rPr>
          <w:rFonts w:hint="eastAsia" w:ascii="仿宋" w:hAnsi="仿宋" w:eastAsia="仿宋"/>
          <w:color w:val="auto"/>
          <w:sz w:val="24"/>
          <w:highlight w:val="none"/>
        </w:rPr>
        <w:t>验收合格的，填写《履约验收报告》。在经过两次限期整改后，服务仍达不到合同文件规定内容的，甲方有权拒收，并可以解除合同；由此引起甲方损失及赔偿责任由乙方承担。</w:t>
      </w:r>
    </w:p>
    <w:p w14:paraId="3EE3C9A1">
      <w:pPr>
        <w:snapToGrid w:val="0"/>
        <w:ind w:firstLine="482"/>
        <w:textAlignment w:val="baseline"/>
        <w:rPr>
          <w:rFonts w:ascii="仿宋" w:hAnsi="仿宋" w:eastAsia="仿宋"/>
          <w:color w:val="auto"/>
          <w:sz w:val="24"/>
          <w:highlight w:val="none"/>
        </w:rPr>
      </w:pPr>
      <w:r>
        <w:rPr>
          <w:rFonts w:hint="eastAsia" w:ascii="仿宋" w:hAnsi="仿宋" w:eastAsia="仿宋"/>
          <w:color w:val="auto"/>
          <w:sz w:val="24"/>
          <w:highlight w:val="none"/>
        </w:rPr>
        <w:t>4.甲方可以视项目规模或复杂情况聘请专业人员参与验收，</w:t>
      </w:r>
      <w:r>
        <w:rPr>
          <w:rFonts w:ascii="仿宋" w:hAnsi="仿宋" w:eastAsia="仿宋"/>
          <w:color w:val="auto"/>
          <w:sz w:val="24"/>
          <w:highlight w:val="none"/>
        </w:rPr>
        <w:t>大型或复杂项目</w:t>
      </w:r>
      <w:r>
        <w:rPr>
          <w:rFonts w:hint="eastAsia" w:ascii="仿宋" w:hAnsi="仿宋" w:eastAsia="仿宋"/>
          <w:color w:val="auto"/>
          <w:sz w:val="24"/>
          <w:highlight w:val="none"/>
        </w:rPr>
        <w:t>，以及涉及专业服务内容的应当</w:t>
      </w:r>
      <w:r>
        <w:rPr>
          <w:rFonts w:ascii="仿宋" w:hAnsi="仿宋" w:eastAsia="仿宋"/>
          <w:color w:val="auto"/>
          <w:sz w:val="24"/>
          <w:highlight w:val="none"/>
        </w:rPr>
        <w:t>邀请国家认可的第三方质量检测机构参与验收。</w:t>
      </w:r>
    </w:p>
    <w:p w14:paraId="34A3B5D1">
      <w:pPr>
        <w:snapToGrid w:val="0"/>
        <w:ind w:firstLine="482"/>
        <w:textAlignment w:val="baseline"/>
        <w:rPr>
          <w:rFonts w:ascii="仿宋" w:hAnsi="仿宋" w:eastAsia="仿宋"/>
          <w:color w:val="auto"/>
          <w:sz w:val="24"/>
          <w:highlight w:val="none"/>
        </w:rPr>
      </w:pPr>
      <w:r>
        <w:rPr>
          <w:rFonts w:hint="eastAsia" w:ascii="仿宋" w:hAnsi="仿宋" w:eastAsia="仿宋"/>
          <w:color w:val="auto"/>
          <w:sz w:val="24"/>
          <w:highlight w:val="none"/>
        </w:rPr>
        <w:t>5.如项目实施情况需要分阶段验收，则根据实际情况分阶段出具《履约验收报告》。</w:t>
      </w:r>
    </w:p>
    <w:p w14:paraId="3521510C">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6.如果合同双方对《履约验收报告》有分歧，双方须于出现分歧后天内给对方书面声明，以陈述己方的理由及要求，并附有关证据。分歧应通过协商解决。</w:t>
      </w:r>
    </w:p>
    <w:p w14:paraId="7B0FECFA">
      <w:pPr>
        <w:ind w:left="482"/>
        <w:rPr>
          <w:rFonts w:ascii="仿宋" w:hAnsi="仿宋" w:eastAsia="仿宋"/>
          <w:b/>
          <w:color w:val="auto"/>
          <w:sz w:val="24"/>
          <w:highlight w:val="none"/>
        </w:rPr>
      </w:pPr>
      <w:r>
        <w:rPr>
          <w:rFonts w:hint="eastAsia" w:ascii="仿宋" w:hAnsi="仿宋" w:eastAsia="仿宋"/>
          <w:b/>
          <w:color w:val="auto"/>
          <w:sz w:val="24"/>
          <w:highlight w:val="none"/>
        </w:rPr>
        <w:t>第七条  项目管理服务</w:t>
      </w:r>
    </w:p>
    <w:p w14:paraId="168A9739">
      <w:pPr>
        <w:ind w:firstLine="480" w:firstLineChars="200"/>
        <w:rPr>
          <w:rFonts w:ascii="仿宋" w:hAnsi="仿宋" w:eastAsia="仿宋"/>
          <w:color w:val="auto"/>
          <w:sz w:val="24"/>
          <w:highlight w:val="none"/>
        </w:rPr>
      </w:pPr>
      <w:r>
        <w:rPr>
          <w:rFonts w:hint="eastAsia" w:ascii="仿宋" w:hAnsi="仿宋" w:eastAsia="仿宋"/>
          <w:color w:val="auto"/>
          <w:sz w:val="24"/>
          <w:highlight w:val="none"/>
          <w:lang w:val="en-US" w:eastAsia="zh-CN"/>
        </w:rPr>
        <w:t>甲</w:t>
      </w:r>
      <w:r>
        <w:rPr>
          <w:rFonts w:hint="eastAsia" w:ascii="仿宋" w:hAnsi="仿宋" w:eastAsia="仿宋"/>
          <w:color w:val="auto"/>
          <w:sz w:val="24"/>
          <w:highlight w:val="none"/>
        </w:rPr>
        <w:t>乙方要指定不少于一人全权全程负责本项目服务的落实，包括服务的咨询、执行和后续工作。</w:t>
      </w:r>
    </w:p>
    <w:p w14:paraId="18A3D0CE">
      <w:pPr>
        <w:snapToGrid w:val="0"/>
        <w:ind w:firstLine="481"/>
        <w:textAlignment w:val="baseline"/>
        <w:rPr>
          <w:rFonts w:ascii="仿宋" w:hAnsi="仿宋" w:eastAsia="仿宋"/>
          <w:color w:val="auto"/>
          <w:sz w:val="24"/>
          <w:highlight w:val="none"/>
        </w:rPr>
      </w:pPr>
      <w:r>
        <w:rPr>
          <w:rFonts w:hint="eastAsia" w:ascii="仿宋" w:hAnsi="仿宋" w:eastAsia="仿宋"/>
          <w:color w:val="auto"/>
          <w:sz w:val="24"/>
          <w:highlight w:val="none"/>
          <w:lang w:val="en-US" w:eastAsia="zh-CN"/>
        </w:rPr>
        <w:t>甲方</w:t>
      </w:r>
      <w:r>
        <w:rPr>
          <w:rFonts w:ascii="仿宋" w:hAnsi="仿宋" w:eastAsia="仿宋"/>
          <w:color w:val="auto"/>
          <w:sz w:val="24"/>
          <w:highlight w:val="none"/>
        </w:rPr>
        <w:t>项目负责人</w:t>
      </w:r>
      <w:r>
        <w:rPr>
          <w:rFonts w:hint="eastAsia" w:ascii="仿宋" w:hAnsi="仿宋" w:eastAsia="仿宋"/>
          <w:color w:val="auto"/>
          <w:sz w:val="24"/>
          <w:highlight w:val="none"/>
        </w:rPr>
        <w:t>姓名</w:t>
      </w:r>
      <w:r>
        <w:rPr>
          <w:rFonts w:ascii="仿宋" w:hAnsi="仿宋" w:eastAsia="仿宋"/>
          <w:color w:val="auto"/>
          <w:sz w:val="24"/>
          <w:highlight w:val="none"/>
        </w:rPr>
        <w:t>：； 联系电话：。</w:t>
      </w:r>
    </w:p>
    <w:p w14:paraId="08C16C9A">
      <w:pPr>
        <w:snapToGrid w:val="0"/>
        <w:ind w:firstLine="481"/>
        <w:textAlignment w:val="baseline"/>
        <w:rPr>
          <w:rFonts w:ascii="仿宋" w:hAnsi="仿宋" w:eastAsia="仿宋"/>
          <w:color w:val="auto"/>
          <w:sz w:val="24"/>
          <w:highlight w:val="none"/>
        </w:rPr>
      </w:pPr>
      <w:r>
        <w:rPr>
          <w:rFonts w:hint="eastAsia" w:ascii="仿宋" w:hAnsi="仿宋" w:eastAsia="仿宋"/>
          <w:color w:val="auto"/>
          <w:sz w:val="24"/>
          <w:highlight w:val="none"/>
          <w:lang w:val="en-US" w:eastAsia="zh-CN"/>
        </w:rPr>
        <w:t>乙方</w:t>
      </w:r>
      <w:r>
        <w:rPr>
          <w:rFonts w:ascii="仿宋" w:hAnsi="仿宋" w:eastAsia="仿宋"/>
          <w:color w:val="auto"/>
          <w:sz w:val="24"/>
          <w:highlight w:val="none"/>
        </w:rPr>
        <w:t>项目负责人</w:t>
      </w:r>
      <w:r>
        <w:rPr>
          <w:rFonts w:hint="eastAsia" w:ascii="仿宋" w:hAnsi="仿宋" w:eastAsia="仿宋"/>
          <w:color w:val="auto"/>
          <w:sz w:val="24"/>
          <w:highlight w:val="none"/>
        </w:rPr>
        <w:t>姓名</w:t>
      </w:r>
      <w:r>
        <w:rPr>
          <w:rFonts w:ascii="仿宋" w:hAnsi="仿宋" w:eastAsia="仿宋"/>
          <w:color w:val="auto"/>
          <w:sz w:val="24"/>
          <w:highlight w:val="none"/>
        </w:rPr>
        <w:t>：； 联系电话：。</w:t>
      </w:r>
    </w:p>
    <w:p w14:paraId="48871C8F">
      <w:pPr>
        <w:ind w:firstLine="472" w:firstLineChars="196"/>
        <w:rPr>
          <w:rFonts w:ascii="仿宋" w:hAnsi="仿宋" w:eastAsia="仿宋"/>
          <w:b/>
          <w:color w:val="auto"/>
          <w:sz w:val="24"/>
          <w:highlight w:val="none"/>
        </w:rPr>
      </w:pPr>
      <w:r>
        <w:rPr>
          <w:rFonts w:hint="eastAsia" w:ascii="仿宋" w:hAnsi="仿宋" w:eastAsia="仿宋"/>
          <w:b/>
          <w:color w:val="auto"/>
          <w:sz w:val="24"/>
          <w:highlight w:val="none"/>
        </w:rPr>
        <w:t>第八条  售后服务</w:t>
      </w:r>
    </w:p>
    <w:p w14:paraId="3822996D">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1.乙方提供服务的质量保证期为自服务通过最终验收起个月。若国家有明确规定的质量保证期高于此质量保证期的，执行国家规定。</w:t>
      </w:r>
    </w:p>
    <w:p w14:paraId="75D5C489">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2.服务期内，乙方应提供相关服务支持。对甲方所反映的任何服务问题在</w:t>
      </w:r>
      <w:r>
        <w:rPr>
          <w:rFonts w:hint="eastAsia" w:ascii="仿宋" w:hAnsi="仿宋" w:eastAsia="仿宋"/>
          <w:color w:val="auto"/>
          <w:sz w:val="24"/>
          <w:highlight w:val="none"/>
          <w:u w:val="single"/>
        </w:rPr>
        <w:t>××</w:t>
      </w:r>
      <w:r>
        <w:rPr>
          <w:rFonts w:hint="eastAsia" w:ascii="仿宋" w:hAnsi="仿宋" w:eastAsia="仿宋"/>
          <w:color w:val="auto"/>
          <w:sz w:val="24"/>
          <w:highlight w:val="none"/>
        </w:rPr>
        <w:t>日（小时）之内做出及时响应，在日（小时）之内赶到现场实地解决问题。若问题在工作日（小时）后仍无法解决，乙方应在日（小时）内免费提供服务的补偿、替换方案，直至服务恢复正常。</w:t>
      </w:r>
    </w:p>
    <w:p w14:paraId="5E65E809">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3.乙方必须遵守甲方的有关管理制度、操作规程。对于乙方违规操作造成甲方损失的，由乙方按照本合同第十二条的约定承担赔偿责任。</w:t>
      </w:r>
    </w:p>
    <w:p w14:paraId="4714E75A">
      <w:pPr>
        <w:ind w:left="482"/>
        <w:rPr>
          <w:rFonts w:ascii="仿宋" w:hAnsi="仿宋" w:eastAsia="仿宋"/>
          <w:b/>
          <w:color w:val="auto"/>
          <w:sz w:val="24"/>
          <w:highlight w:val="none"/>
        </w:rPr>
      </w:pPr>
      <w:r>
        <w:rPr>
          <w:rFonts w:hint="eastAsia" w:ascii="仿宋" w:hAnsi="仿宋" w:eastAsia="仿宋"/>
          <w:b/>
          <w:color w:val="auto"/>
          <w:sz w:val="24"/>
          <w:highlight w:val="none"/>
        </w:rPr>
        <w:t>第九条  分包</w:t>
      </w:r>
    </w:p>
    <w:p w14:paraId="6329CB36">
      <w:pPr>
        <w:ind w:firstLine="480" w:firstLineChars="200"/>
        <w:rPr>
          <w:rFonts w:ascii="仿宋" w:hAnsi="仿宋" w:eastAsia="仿宋"/>
          <w:strike/>
          <w:color w:val="auto"/>
          <w:sz w:val="24"/>
          <w:highlight w:val="none"/>
        </w:rPr>
      </w:pPr>
      <w:r>
        <w:rPr>
          <w:rFonts w:hint="eastAsia" w:ascii="仿宋" w:hAnsi="仿宋" w:eastAsia="仿宋"/>
          <w:color w:val="auto"/>
          <w:sz w:val="24"/>
          <w:highlight w:val="none"/>
        </w:rPr>
        <w:t>除采购文件事先说明、且经甲方事先书面同意外，乙方不得分包、转包其应履行的合同义务。</w:t>
      </w:r>
    </w:p>
    <w:p w14:paraId="3A591F1F">
      <w:pPr>
        <w:ind w:firstLine="482" w:firstLineChars="200"/>
        <w:rPr>
          <w:rFonts w:ascii="仿宋" w:hAnsi="仿宋" w:eastAsia="仿宋"/>
          <w:b/>
          <w:color w:val="auto"/>
          <w:sz w:val="24"/>
          <w:highlight w:val="none"/>
        </w:rPr>
      </w:pPr>
      <w:r>
        <w:rPr>
          <w:rFonts w:hint="eastAsia" w:ascii="仿宋" w:hAnsi="仿宋" w:eastAsia="仿宋"/>
          <w:b/>
          <w:color w:val="auto"/>
          <w:sz w:val="24"/>
          <w:highlight w:val="none"/>
        </w:rPr>
        <w:t>第十条  合同的生效</w:t>
      </w:r>
    </w:p>
    <w:p w14:paraId="7841CD04">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1.本合同经甲乙双方授权代表签字并加盖公章或合同专用章后生效。</w:t>
      </w:r>
    </w:p>
    <w:p w14:paraId="61149497">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2.生效后，除《政府采购法》第49条、第50条第二款规定的情形外，甲乙双方不得擅自变更、中止或终止合同。</w:t>
      </w:r>
    </w:p>
    <w:p w14:paraId="6587D703">
      <w:pPr>
        <w:ind w:left="482"/>
        <w:rPr>
          <w:rFonts w:ascii="仿宋" w:hAnsi="仿宋" w:eastAsia="仿宋"/>
          <w:b/>
          <w:color w:val="auto"/>
          <w:sz w:val="24"/>
          <w:highlight w:val="none"/>
        </w:rPr>
      </w:pPr>
      <w:r>
        <w:rPr>
          <w:rFonts w:hint="eastAsia" w:ascii="仿宋" w:hAnsi="仿宋" w:eastAsia="仿宋"/>
          <w:b/>
          <w:color w:val="auto"/>
          <w:sz w:val="24"/>
          <w:highlight w:val="none"/>
        </w:rPr>
        <w:t>第十一条  违约责任</w:t>
      </w:r>
    </w:p>
    <w:p w14:paraId="34121352">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1.</w:t>
      </w:r>
      <w:r>
        <w:rPr>
          <w:rFonts w:ascii="仿宋" w:hAnsi="仿宋" w:eastAsia="仿宋"/>
          <w:color w:val="auto"/>
          <w:sz w:val="24"/>
          <w:highlight w:val="none"/>
        </w:rPr>
        <w:t>乙方所</w:t>
      </w:r>
      <w:r>
        <w:rPr>
          <w:rFonts w:hint="eastAsia" w:ascii="仿宋" w:hAnsi="仿宋" w:eastAsia="仿宋"/>
          <w:color w:val="auto"/>
          <w:sz w:val="24"/>
          <w:highlight w:val="none"/>
        </w:rPr>
        <w:t>提供</w:t>
      </w:r>
      <w:r>
        <w:rPr>
          <w:rFonts w:ascii="仿宋" w:hAnsi="仿宋" w:eastAsia="仿宋"/>
          <w:color w:val="auto"/>
          <w:sz w:val="24"/>
          <w:highlight w:val="none"/>
        </w:rPr>
        <w:t>的</w:t>
      </w:r>
      <w:r>
        <w:rPr>
          <w:rFonts w:hint="eastAsia" w:ascii="仿宋" w:hAnsi="仿宋" w:eastAsia="仿宋"/>
          <w:color w:val="auto"/>
          <w:sz w:val="24"/>
          <w:highlight w:val="none"/>
        </w:rPr>
        <w:t>服务成果</w:t>
      </w:r>
      <w:r>
        <w:rPr>
          <w:rFonts w:ascii="仿宋" w:hAnsi="仿宋" w:eastAsia="仿宋"/>
          <w:color w:val="auto"/>
          <w:sz w:val="24"/>
          <w:highlight w:val="none"/>
        </w:rPr>
        <w:t>不符合</w:t>
      </w:r>
      <w:r>
        <w:rPr>
          <w:rFonts w:hint="eastAsia" w:ascii="仿宋" w:hAnsi="仿宋" w:eastAsia="仿宋"/>
          <w:color w:val="auto"/>
          <w:sz w:val="24"/>
          <w:highlight w:val="none"/>
        </w:rPr>
        <w:t>本</w:t>
      </w:r>
      <w:r>
        <w:rPr>
          <w:rFonts w:ascii="仿宋" w:hAnsi="仿宋" w:eastAsia="仿宋"/>
          <w:color w:val="auto"/>
          <w:sz w:val="24"/>
          <w:highlight w:val="none"/>
        </w:rPr>
        <w:t>合同规定的，甲方有权拒收</w:t>
      </w:r>
      <w:r>
        <w:rPr>
          <w:rFonts w:hint="eastAsia" w:ascii="仿宋" w:hAnsi="仿宋" w:eastAsia="仿宋"/>
          <w:color w:val="auto"/>
          <w:sz w:val="24"/>
          <w:highlight w:val="none"/>
        </w:rPr>
        <w:t>，乙方在得到甲方通知之日起个工作日内采取补救措施，逾期仍未采取有效措施的，乙方应向甲方支付合同总价％的违约金。</w:t>
      </w:r>
    </w:p>
    <w:p w14:paraId="64749D6A">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2.甲方无正当理由拒绝接收服务，甲方应向乙方偿付拒付服务费用 ％的违约金。</w:t>
      </w:r>
    </w:p>
    <w:p w14:paraId="45EEBCB3">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3.</w:t>
      </w:r>
      <w:r>
        <w:rPr>
          <w:rFonts w:ascii="仿宋" w:hAnsi="仿宋" w:eastAsia="仿宋"/>
          <w:color w:val="auto"/>
          <w:sz w:val="24"/>
          <w:highlight w:val="none"/>
        </w:rPr>
        <w:t>乙方无正当理由逾期</w:t>
      </w:r>
      <w:r>
        <w:rPr>
          <w:rFonts w:hint="eastAsia" w:ascii="仿宋" w:hAnsi="仿宋" w:eastAsia="仿宋"/>
          <w:color w:val="auto"/>
          <w:sz w:val="24"/>
          <w:highlight w:val="none"/>
        </w:rPr>
        <w:t>提供服务</w:t>
      </w:r>
      <w:r>
        <w:rPr>
          <w:rFonts w:ascii="仿宋" w:hAnsi="仿宋" w:eastAsia="仿宋"/>
          <w:color w:val="auto"/>
          <w:sz w:val="24"/>
          <w:highlight w:val="none"/>
        </w:rPr>
        <w:t>的，每逾期1天，乙方向甲方偿付</w:t>
      </w:r>
      <w:r>
        <w:rPr>
          <w:rFonts w:hint="eastAsia" w:ascii="仿宋" w:hAnsi="仿宋" w:eastAsia="仿宋"/>
          <w:color w:val="auto"/>
          <w:sz w:val="24"/>
          <w:highlight w:val="none"/>
        </w:rPr>
        <w:t>合同</w:t>
      </w:r>
      <w:r>
        <w:rPr>
          <w:rFonts w:ascii="仿宋" w:hAnsi="仿宋" w:eastAsia="仿宋"/>
          <w:color w:val="auto"/>
          <w:sz w:val="24"/>
          <w:highlight w:val="none"/>
        </w:rPr>
        <w:t>总额的‰的</w:t>
      </w:r>
      <w:r>
        <w:rPr>
          <w:rFonts w:hint="eastAsia" w:ascii="仿宋" w:hAnsi="仿宋" w:eastAsia="仿宋"/>
          <w:color w:val="auto"/>
          <w:sz w:val="24"/>
          <w:highlight w:val="none"/>
        </w:rPr>
        <w:t>违约</w:t>
      </w:r>
      <w:r>
        <w:rPr>
          <w:rFonts w:ascii="仿宋" w:hAnsi="仿宋" w:eastAsia="仿宋"/>
          <w:color w:val="auto"/>
          <w:sz w:val="24"/>
          <w:highlight w:val="none"/>
        </w:rPr>
        <w:t>金</w:t>
      </w:r>
      <w:r>
        <w:rPr>
          <w:rFonts w:hint="eastAsia" w:ascii="仿宋" w:hAnsi="仿宋" w:eastAsia="仿宋"/>
          <w:color w:val="auto"/>
          <w:sz w:val="24"/>
          <w:highlight w:val="none"/>
        </w:rPr>
        <w:t>。如乙方逾期达天，甲方有权解除合同，甲方解除合同的通知自到达乙方时生效。在此情况下，乙方给甲方造成的实际损失高于违约金的，对高出违约金的部分乙方应予以赔偿。</w:t>
      </w:r>
    </w:p>
    <w:p w14:paraId="5052085E">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4.甲方未按合同规定的期限向乙方支付合同款的，每逾期1天甲方向乙方偿付欠款总额的‰违约金，但累计违约金总额不超过欠款总额的％。</w:t>
      </w:r>
    </w:p>
    <w:p w14:paraId="139F87A2">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5.其它未尽事宜，以《民法典》和《政府采购法》等有关法律法规规定为准，无相关规定的，双方协商解决。</w:t>
      </w:r>
    </w:p>
    <w:p w14:paraId="388E8546">
      <w:pPr>
        <w:ind w:left="482"/>
        <w:rPr>
          <w:rFonts w:ascii="仿宋" w:hAnsi="仿宋" w:eastAsia="仿宋"/>
          <w:b/>
          <w:color w:val="auto"/>
          <w:sz w:val="24"/>
          <w:highlight w:val="none"/>
        </w:rPr>
      </w:pPr>
      <w:r>
        <w:rPr>
          <w:rFonts w:hint="eastAsia" w:ascii="仿宋" w:hAnsi="仿宋" w:eastAsia="仿宋"/>
          <w:b/>
          <w:color w:val="auto"/>
          <w:sz w:val="24"/>
          <w:highlight w:val="none"/>
        </w:rPr>
        <w:t>第十</w:t>
      </w:r>
      <w:r>
        <w:rPr>
          <w:rFonts w:hint="eastAsia" w:ascii="仿宋" w:hAnsi="仿宋" w:eastAsia="仿宋"/>
          <w:b/>
          <w:color w:val="auto"/>
          <w:sz w:val="24"/>
          <w:highlight w:val="none"/>
          <w:lang w:val="en-US" w:eastAsia="zh-CN"/>
        </w:rPr>
        <w:t>二</w:t>
      </w:r>
      <w:r>
        <w:rPr>
          <w:rFonts w:hint="eastAsia" w:ascii="仿宋" w:hAnsi="仿宋" w:eastAsia="仿宋"/>
          <w:b/>
          <w:color w:val="auto"/>
          <w:sz w:val="24"/>
          <w:highlight w:val="none"/>
        </w:rPr>
        <w:t>条  不可抗力</w:t>
      </w:r>
    </w:p>
    <w:p w14:paraId="7D99725B">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p>
    <w:p w14:paraId="7C8A2F0D">
      <w:pPr>
        <w:ind w:left="482"/>
        <w:rPr>
          <w:rFonts w:ascii="仿宋" w:hAnsi="仿宋" w:eastAsia="仿宋"/>
          <w:b/>
          <w:color w:val="auto"/>
          <w:sz w:val="24"/>
          <w:highlight w:val="none"/>
        </w:rPr>
      </w:pPr>
      <w:r>
        <w:rPr>
          <w:rFonts w:hint="eastAsia" w:ascii="仿宋" w:hAnsi="仿宋" w:eastAsia="仿宋"/>
          <w:b/>
          <w:color w:val="auto"/>
          <w:sz w:val="24"/>
          <w:highlight w:val="none"/>
        </w:rPr>
        <w:t>第十</w:t>
      </w:r>
      <w:r>
        <w:rPr>
          <w:rFonts w:hint="eastAsia" w:ascii="仿宋" w:hAnsi="仿宋" w:eastAsia="仿宋"/>
          <w:b/>
          <w:color w:val="auto"/>
          <w:sz w:val="24"/>
          <w:highlight w:val="none"/>
          <w:lang w:val="en-US" w:eastAsia="zh-CN"/>
        </w:rPr>
        <w:t>三</w:t>
      </w:r>
      <w:r>
        <w:rPr>
          <w:rFonts w:hint="eastAsia" w:ascii="仿宋" w:hAnsi="仿宋" w:eastAsia="仿宋"/>
          <w:b/>
          <w:color w:val="auto"/>
          <w:sz w:val="24"/>
          <w:highlight w:val="none"/>
        </w:rPr>
        <w:t>条  争议的解决方式</w:t>
      </w:r>
    </w:p>
    <w:p w14:paraId="0FFEDE8E">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1.因服务质量问题发生争议的，应当邀请国家认可的质量检测机构对服务进行鉴定。服务符合标准的，鉴定费由甲方承担；不符合质量标准的，鉴定费由乙方承担。</w:t>
      </w:r>
    </w:p>
    <w:p w14:paraId="09ABD323">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2.在解释或者执行本合同的过程中发生争议时，双方应通过协商方式解决。</w:t>
      </w:r>
    </w:p>
    <w:p w14:paraId="59B3A440">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3.经协商不能解决的争议，双方可选择以下第种方式解决：</w:t>
      </w:r>
    </w:p>
    <w:p w14:paraId="474B080C">
      <w:pPr>
        <w:ind w:firstLine="480" w:firstLineChars="200"/>
        <w:rPr>
          <w:rFonts w:ascii="仿宋" w:hAnsi="仿宋" w:eastAsia="仿宋"/>
          <w:color w:val="auto"/>
          <w:sz w:val="24"/>
          <w:highlight w:val="none"/>
        </w:rPr>
      </w:pPr>
      <w:r>
        <w:rPr>
          <w:rFonts w:hint="eastAsia" w:ascii="仿宋" w:hAnsi="仿宋" w:eastAsia="仿宋" w:cs="仿宋_GB2312"/>
          <w:color w:val="auto"/>
          <w:sz w:val="24"/>
          <w:highlight w:val="none"/>
        </w:rPr>
        <w:t>①</w:t>
      </w:r>
      <w:r>
        <w:rPr>
          <w:rFonts w:hint="eastAsia" w:ascii="仿宋" w:hAnsi="仿宋" w:eastAsia="仿宋"/>
          <w:color w:val="auto"/>
          <w:sz w:val="24"/>
          <w:highlight w:val="none"/>
        </w:rPr>
        <w:t>向南通市有管辖权的法院提起诉讼；</w:t>
      </w:r>
    </w:p>
    <w:p w14:paraId="0F536E82">
      <w:pPr>
        <w:ind w:firstLine="480" w:firstLineChars="200"/>
        <w:rPr>
          <w:rFonts w:ascii="仿宋" w:hAnsi="仿宋" w:eastAsia="仿宋"/>
          <w:color w:val="auto"/>
          <w:sz w:val="24"/>
          <w:highlight w:val="none"/>
        </w:rPr>
      </w:pPr>
      <w:r>
        <w:rPr>
          <w:rFonts w:hint="eastAsia" w:ascii="仿宋" w:hAnsi="仿宋" w:eastAsia="仿宋" w:cs="仿宋_GB2312"/>
          <w:color w:val="auto"/>
          <w:sz w:val="24"/>
          <w:highlight w:val="none"/>
        </w:rPr>
        <w:t>②</w:t>
      </w:r>
      <w:r>
        <w:rPr>
          <w:rFonts w:hint="eastAsia" w:ascii="仿宋" w:hAnsi="仿宋" w:eastAsia="仿宋"/>
          <w:color w:val="auto"/>
          <w:sz w:val="24"/>
          <w:highlight w:val="none"/>
        </w:rPr>
        <w:t>向南通市仲裁委员会提出仲裁。</w:t>
      </w:r>
    </w:p>
    <w:p w14:paraId="3F6698C3">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4.在法院审理和仲裁期间，除有争议部分外，本合同其他部分可以履行的仍应按合同条款继续履行。</w:t>
      </w:r>
    </w:p>
    <w:p w14:paraId="5E05EBBE">
      <w:pPr>
        <w:ind w:left="482"/>
        <w:rPr>
          <w:rFonts w:ascii="仿宋" w:hAnsi="仿宋" w:eastAsia="仿宋"/>
          <w:b/>
          <w:color w:val="auto"/>
          <w:sz w:val="24"/>
          <w:highlight w:val="none"/>
        </w:rPr>
      </w:pPr>
      <w:r>
        <w:rPr>
          <w:rFonts w:hint="eastAsia" w:ascii="仿宋" w:hAnsi="仿宋" w:eastAsia="仿宋"/>
          <w:b/>
          <w:color w:val="auto"/>
          <w:sz w:val="24"/>
          <w:highlight w:val="none"/>
        </w:rPr>
        <w:t>第十</w:t>
      </w:r>
      <w:r>
        <w:rPr>
          <w:rFonts w:hint="eastAsia" w:ascii="仿宋" w:hAnsi="仿宋" w:eastAsia="仿宋"/>
          <w:b/>
          <w:color w:val="auto"/>
          <w:sz w:val="24"/>
          <w:highlight w:val="none"/>
          <w:lang w:val="en-US" w:eastAsia="zh-CN"/>
        </w:rPr>
        <w:t>四</w:t>
      </w:r>
      <w:r>
        <w:rPr>
          <w:rFonts w:hint="eastAsia" w:ascii="仿宋" w:hAnsi="仿宋" w:eastAsia="仿宋"/>
          <w:b/>
          <w:color w:val="auto"/>
          <w:sz w:val="24"/>
          <w:highlight w:val="none"/>
        </w:rPr>
        <w:t>条  其他</w:t>
      </w:r>
    </w:p>
    <w:p w14:paraId="6A9DC8B2">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符合《政府采购法》第49条规定的，经双方协商，办理政府采购手续后，可签订补充合同，所签订的补充合同与本合同具有同等法律效力。</w:t>
      </w:r>
    </w:p>
    <w:p w14:paraId="510C5AA7">
      <w:pPr>
        <w:ind w:firstLine="480" w:firstLineChars="200"/>
        <w:rPr>
          <w:rFonts w:ascii="仿宋" w:hAnsi="仿宋" w:eastAsia="仿宋"/>
          <w:color w:val="auto"/>
          <w:sz w:val="24"/>
          <w:highlight w:val="none"/>
        </w:rPr>
      </w:pPr>
      <w:r>
        <w:rPr>
          <w:rFonts w:hint="eastAsia" w:ascii="仿宋" w:hAnsi="仿宋" w:eastAsia="仿宋"/>
          <w:color w:val="auto"/>
          <w:sz w:val="24"/>
          <w:highlight w:val="none"/>
        </w:rPr>
        <w:t>本合同一式份，甲、乙双方各执份。</w:t>
      </w:r>
    </w:p>
    <w:p w14:paraId="43757149">
      <w:pPr>
        <w:ind w:firstLine="480" w:firstLineChars="200"/>
        <w:rPr>
          <w:rFonts w:ascii="仿宋" w:hAnsi="仿宋" w:eastAsia="仿宋"/>
          <w:color w:val="auto"/>
          <w:sz w:val="24"/>
          <w:highlight w:val="none"/>
        </w:rPr>
      </w:pPr>
    </w:p>
    <w:tbl>
      <w:tblPr>
        <w:tblStyle w:val="16"/>
        <w:tblW w:w="0" w:type="auto"/>
        <w:tblInd w:w="0" w:type="dxa"/>
        <w:tblLayout w:type="autofit"/>
        <w:tblCellMar>
          <w:top w:w="0" w:type="dxa"/>
          <w:left w:w="108" w:type="dxa"/>
          <w:bottom w:w="0" w:type="dxa"/>
          <w:right w:w="108" w:type="dxa"/>
        </w:tblCellMar>
      </w:tblPr>
      <w:tblGrid>
        <w:gridCol w:w="4261"/>
        <w:gridCol w:w="4261"/>
      </w:tblGrid>
      <w:tr w14:paraId="084BF7C4">
        <w:tblPrEx>
          <w:tblCellMar>
            <w:top w:w="0" w:type="dxa"/>
            <w:left w:w="108" w:type="dxa"/>
            <w:bottom w:w="0" w:type="dxa"/>
            <w:right w:w="108" w:type="dxa"/>
          </w:tblCellMar>
        </w:tblPrEx>
        <w:tc>
          <w:tcPr>
            <w:tcW w:w="4261" w:type="dxa"/>
          </w:tcPr>
          <w:p w14:paraId="43F9DD5C">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rPr>
              <w:t>甲方（公章）：</w:t>
            </w:r>
          </w:p>
          <w:p w14:paraId="41080F18">
            <w:pPr>
              <w:rPr>
                <w:rFonts w:ascii="仿宋" w:hAnsi="仿宋" w:eastAsia="仿宋"/>
                <w:color w:val="auto"/>
                <w:sz w:val="24"/>
                <w:highlight w:val="none"/>
              </w:rPr>
            </w:pPr>
            <w:r>
              <w:rPr>
                <w:rFonts w:hint="eastAsia" w:ascii="仿宋" w:hAnsi="仿宋" w:eastAsia="仿宋"/>
                <w:color w:val="auto"/>
                <w:sz w:val="24"/>
                <w:highlight w:val="none"/>
              </w:rPr>
              <w:t>地址：</w:t>
            </w:r>
          </w:p>
          <w:p w14:paraId="4255A07F">
            <w:pPr>
              <w:rPr>
                <w:rFonts w:ascii="仿宋" w:hAnsi="仿宋" w:eastAsia="仿宋"/>
                <w:color w:val="auto"/>
                <w:sz w:val="24"/>
                <w:highlight w:val="none"/>
              </w:rPr>
            </w:pPr>
            <w:r>
              <w:rPr>
                <w:rFonts w:hint="eastAsia" w:ascii="仿宋" w:hAnsi="仿宋" w:eastAsia="仿宋"/>
                <w:color w:val="auto"/>
                <w:sz w:val="24"/>
                <w:highlight w:val="none"/>
              </w:rPr>
              <w:t>法定代表人（授权人）：</w:t>
            </w:r>
          </w:p>
          <w:p w14:paraId="6613174D">
            <w:pPr>
              <w:rPr>
                <w:rFonts w:ascii="仿宋" w:hAnsi="仿宋" w:eastAsia="仿宋"/>
                <w:color w:val="auto"/>
                <w:sz w:val="24"/>
                <w:highlight w:val="none"/>
              </w:rPr>
            </w:pPr>
          </w:p>
          <w:p w14:paraId="357E2554">
            <w:pPr>
              <w:rPr>
                <w:rFonts w:ascii="仿宋" w:hAnsi="仿宋" w:eastAsia="仿宋"/>
                <w:color w:val="auto"/>
                <w:sz w:val="24"/>
                <w:highlight w:val="none"/>
              </w:rPr>
            </w:pPr>
          </w:p>
          <w:p w14:paraId="45CBECB8">
            <w:pPr>
              <w:jc w:val="right"/>
              <w:rPr>
                <w:rFonts w:ascii="仿宋" w:hAnsi="仿宋" w:eastAsia="仿宋"/>
                <w:color w:val="auto"/>
                <w:sz w:val="24"/>
                <w:highlight w:val="none"/>
              </w:rPr>
            </w:pPr>
            <w:r>
              <w:rPr>
                <w:rFonts w:hint="eastAsia" w:ascii="仿宋" w:hAnsi="仿宋" w:eastAsia="仿宋"/>
                <w:color w:val="auto"/>
                <w:sz w:val="24"/>
                <w:highlight w:val="none"/>
              </w:rPr>
              <w:t>年  月  日</w:t>
            </w:r>
          </w:p>
        </w:tc>
        <w:tc>
          <w:tcPr>
            <w:tcW w:w="4261" w:type="dxa"/>
          </w:tcPr>
          <w:p w14:paraId="1AF349D9">
            <w:pPr>
              <w:rPr>
                <w:rFonts w:ascii="仿宋" w:hAnsi="仿宋" w:eastAsia="仿宋"/>
                <w:color w:val="auto"/>
                <w:sz w:val="24"/>
                <w:highlight w:val="none"/>
              </w:rPr>
            </w:pPr>
            <w:r>
              <w:rPr>
                <w:rFonts w:hint="eastAsia" w:ascii="仿宋" w:hAnsi="仿宋" w:eastAsia="仿宋"/>
                <w:color w:val="auto"/>
                <w:sz w:val="24"/>
                <w:highlight w:val="none"/>
              </w:rPr>
              <w:t>乙方（公章）：</w:t>
            </w:r>
          </w:p>
          <w:p w14:paraId="585033B5">
            <w:pPr>
              <w:rPr>
                <w:rFonts w:ascii="仿宋" w:hAnsi="仿宋" w:eastAsia="仿宋"/>
                <w:color w:val="auto"/>
                <w:sz w:val="24"/>
                <w:highlight w:val="none"/>
              </w:rPr>
            </w:pPr>
            <w:r>
              <w:rPr>
                <w:rFonts w:hint="eastAsia" w:ascii="仿宋" w:hAnsi="仿宋" w:eastAsia="仿宋"/>
                <w:color w:val="auto"/>
                <w:sz w:val="24"/>
                <w:highlight w:val="none"/>
              </w:rPr>
              <w:t>地址：</w:t>
            </w:r>
          </w:p>
          <w:p w14:paraId="56B5CC6E">
            <w:pPr>
              <w:rPr>
                <w:rFonts w:ascii="仿宋" w:hAnsi="仿宋" w:eastAsia="仿宋"/>
                <w:color w:val="auto"/>
                <w:sz w:val="24"/>
                <w:highlight w:val="none"/>
              </w:rPr>
            </w:pPr>
            <w:r>
              <w:rPr>
                <w:rFonts w:hint="eastAsia" w:ascii="仿宋" w:hAnsi="仿宋" w:eastAsia="仿宋"/>
                <w:color w:val="auto"/>
                <w:sz w:val="24"/>
                <w:highlight w:val="none"/>
              </w:rPr>
              <w:t>法定代表人（授权人）：</w:t>
            </w:r>
          </w:p>
          <w:p w14:paraId="1A8132B0">
            <w:pPr>
              <w:rPr>
                <w:rFonts w:ascii="仿宋" w:hAnsi="仿宋" w:eastAsia="仿宋"/>
                <w:color w:val="auto"/>
                <w:sz w:val="24"/>
                <w:highlight w:val="none"/>
              </w:rPr>
            </w:pPr>
            <w:r>
              <w:rPr>
                <w:rFonts w:hint="eastAsia" w:ascii="仿宋" w:hAnsi="仿宋" w:eastAsia="仿宋"/>
                <w:color w:val="auto"/>
                <w:sz w:val="24"/>
                <w:highlight w:val="none"/>
              </w:rPr>
              <w:t>开户行：</w:t>
            </w:r>
          </w:p>
          <w:p w14:paraId="21ED0425">
            <w:pPr>
              <w:rPr>
                <w:rFonts w:ascii="仿宋" w:hAnsi="仿宋" w:eastAsia="仿宋"/>
                <w:color w:val="auto"/>
                <w:sz w:val="24"/>
                <w:highlight w:val="none"/>
              </w:rPr>
            </w:pPr>
            <w:r>
              <w:rPr>
                <w:rFonts w:hint="eastAsia" w:ascii="仿宋" w:hAnsi="仿宋" w:eastAsia="仿宋"/>
                <w:color w:val="auto"/>
                <w:sz w:val="24"/>
                <w:highlight w:val="none"/>
              </w:rPr>
              <w:t>银行账号：</w:t>
            </w:r>
          </w:p>
          <w:p w14:paraId="6D2E7BE3">
            <w:pPr>
              <w:jc w:val="right"/>
              <w:rPr>
                <w:rFonts w:ascii="仿宋" w:hAnsi="仿宋" w:eastAsia="仿宋"/>
                <w:color w:val="auto"/>
                <w:sz w:val="24"/>
                <w:highlight w:val="none"/>
              </w:rPr>
            </w:pPr>
            <w:r>
              <w:rPr>
                <w:rFonts w:hint="eastAsia" w:ascii="仿宋" w:hAnsi="仿宋" w:eastAsia="仿宋"/>
                <w:color w:val="auto"/>
                <w:sz w:val="24"/>
                <w:highlight w:val="none"/>
              </w:rPr>
              <w:t xml:space="preserve">        年  月  日</w:t>
            </w:r>
          </w:p>
        </w:tc>
      </w:tr>
    </w:tbl>
    <w:p w14:paraId="5986A25D">
      <w:pPr>
        <w:ind w:firstLine="480" w:firstLineChars="200"/>
        <w:rPr>
          <w:rFonts w:ascii="仿宋_GB2312" w:hAnsi="宋体" w:eastAsia="仿宋_GB2312"/>
          <w:color w:val="auto"/>
          <w:sz w:val="24"/>
          <w:highlight w:val="none"/>
        </w:rPr>
      </w:pPr>
    </w:p>
    <w:p w14:paraId="2A2B1C38">
      <w:pPr>
        <w:rPr>
          <w:rFonts w:ascii="仿宋" w:hAnsi="仿宋" w:eastAsia="仿宋"/>
          <w:color w:val="auto"/>
          <w:sz w:val="24"/>
          <w:highlight w:val="none"/>
        </w:rPr>
      </w:pPr>
      <w:r>
        <w:rPr>
          <w:rFonts w:hint="eastAsia" w:ascii="仿宋" w:hAnsi="仿宋" w:eastAsia="仿宋"/>
          <w:color w:val="auto"/>
          <w:sz w:val="24"/>
          <w:highlight w:val="none"/>
        </w:rPr>
        <w:t>附件</w:t>
      </w:r>
    </w:p>
    <w:p w14:paraId="5E286FC3">
      <w:pPr>
        <w:jc w:val="center"/>
        <w:rPr>
          <w:rFonts w:ascii="仿宋" w:hAnsi="仿宋" w:eastAsia="仿宋"/>
          <w:color w:val="auto"/>
          <w:sz w:val="24"/>
          <w:highlight w:val="none"/>
        </w:rPr>
      </w:pPr>
      <w:r>
        <w:rPr>
          <w:rFonts w:hint="eastAsia" w:ascii="仿宋" w:hAnsi="仿宋" w:eastAsia="仿宋"/>
          <w:color w:val="auto"/>
          <w:sz w:val="24"/>
          <w:highlight w:val="none"/>
        </w:rPr>
        <w:t>服务明细项目一览表</w:t>
      </w:r>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1426"/>
        <w:gridCol w:w="2891"/>
        <w:gridCol w:w="555"/>
        <w:gridCol w:w="555"/>
        <w:gridCol w:w="961"/>
        <w:gridCol w:w="1014"/>
        <w:gridCol w:w="1384"/>
      </w:tblGrid>
      <w:tr w14:paraId="12754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vAlign w:val="center"/>
          </w:tcPr>
          <w:p w14:paraId="0A7786DE">
            <w:pPr>
              <w:pStyle w:val="6"/>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序号</w:t>
            </w:r>
          </w:p>
        </w:tc>
        <w:tc>
          <w:tcPr>
            <w:tcW w:w="1270" w:type="dxa"/>
            <w:vAlign w:val="center"/>
          </w:tcPr>
          <w:p w14:paraId="7CFDDF92">
            <w:pPr>
              <w:pStyle w:val="6"/>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服务名称</w:t>
            </w:r>
          </w:p>
        </w:tc>
        <w:tc>
          <w:tcPr>
            <w:tcW w:w="2574" w:type="dxa"/>
            <w:vAlign w:val="center"/>
          </w:tcPr>
          <w:p w14:paraId="7E527928">
            <w:pPr>
              <w:pStyle w:val="6"/>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服务内容</w:t>
            </w:r>
          </w:p>
        </w:tc>
        <w:tc>
          <w:tcPr>
            <w:tcW w:w="494" w:type="dxa"/>
            <w:vAlign w:val="center"/>
          </w:tcPr>
          <w:p w14:paraId="11F799D3">
            <w:pPr>
              <w:pStyle w:val="6"/>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计量单位</w:t>
            </w:r>
          </w:p>
        </w:tc>
        <w:tc>
          <w:tcPr>
            <w:tcW w:w="494" w:type="dxa"/>
            <w:vAlign w:val="center"/>
          </w:tcPr>
          <w:p w14:paraId="498CA72A">
            <w:pPr>
              <w:pStyle w:val="6"/>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工作量</w:t>
            </w:r>
          </w:p>
        </w:tc>
        <w:tc>
          <w:tcPr>
            <w:tcW w:w="856" w:type="dxa"/>
            <w:vAlign w:val="center"/>
          </w:tcPr>
          <w:p w14:paraId="52028B4F">
            <w:pPr>
              <w:pStyle w:val="6"/>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单 价</w:t>
            </w:r>
          </w:p>
          <w:p w14:paraId="5D39FF6C">
            <w:pPr>
              <w:pStyle w:val="6"/>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（元）</w:t>
            </w:r>
          </w:p>
        </w:tc>
        <w:tc>
          <w:tcPr>
            <w:tcW w:w="903" w:type="dxa"/>
            <w:vAlign w:val="center"/>
          </w:tcPr>
          <w:p w14:paraId="54C89B21">
            <w:pPr>
              <w:pStyle w:val="6"/>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总 价</w:t>
            </w:r>
          </w:p>
          <w:p w14:paraId="0C0D0B35">
            <w:pPr>
              <w:pStyle w:val="6"/>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（元）</w:t>
            </w:r>
          </w:p>
        </w:tc>
        <w:tc>
          <w:tcPr>
            <w:tcW w:w="1232" w:type="dxa"/>
            <w:vAlign w:val="center"/>
          </w:tcPr>
          <w:p w14:paraId="63C984A4">
            <w:pPr>
              <w:pStyle w:val="6"/>
              <w:snapToGrid w:val="0"/>
              <w:spacing w:after="0" w:line="240" w:lineRule="auto"/>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备注</w:t>
            </w:r>
          </w:p>
        </w:tc>
      </w:tr>
      <w:tr w14:paraId="338C2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04BB4E44">
            <w:pPr>
              <w:pStyle w:val="6"/>
              <w:snapToGrid w:val="0"/>
              <w:spacing w:after="0" w:line="240" w:lineRule="auto"/>
              <w:rPr>
                <w:rFonts w:ascii="仿宋" w:hAnsi="仿宋" w:eastAsia="仿宋"/>
                <w:color w:val="auto"/>
                <w:sz w:val="24"/>
                <w:szCs w:val="24"/>
                <w:highlight w:val="none"/>
              </w:rPr>
            </w:pPr>
          </w:p>
        </w:tc>
        <w:tc>
          <w:tcPr>
            <w:tcW w:w="1270" w:type="dxa"/>
          </w:tcPr>
          <w:p w14:paraId="1FA91295">
            <w:pPr>
              <w:pStyle w:val="6"/>
              <w:snapToGrid w:val="0"/>
              <w:spacing w:after="0" w:line="240" w:lineRule="auto"/>
              <w:rPr>
                <w:rFonts w:ascii="仿宋" w:hAnsi="仿宋" w:eastAsia="仿宋"/>
                <w:color w:val="auto"/>
                <w:sz w:val="24"/>
                <w:szCs w:val="24"/>
                <w:highlight w:val="none"/>
              </w:rPr>
            </w:pPr>
          </w:p>
        </w:tc>
        <w:tc>
          <w:tcPr>
            <w:tcW w:w="2574" w:type="dxa"/>
          </w:tcPr>
          <w:p w14:paraId="7D7F0DC0">
            <w:pPr>
              <w:pStyle w:val="6"/>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（视明细项目加行）</w:t>
            </w:r>
          </w:p>
        </w:tc>
        <w:tc>
          <w:tcPr>
            <w:tcW w:w="494" w:type="dxa"/>
          </w:tcPr>
          <w:p w14:paraId="293825E9">
            <w:pPr>
              <w:pStyle w:val="6"/>
              <w:snapToGrid w:val="0"/>
              <w:spacing w:after="0" w:line="240" w:lineRule="auto"/>
              <w:rPr>
                <w:rFonts w:ascii="仿宋" w:hAnsi="仿宋" w:eastAsia="仿宋"/>
                <w:color w:val="auto"/>
                <w:sz w:val="24"/>
                <w:szCs w:val="24"/>
                <w:highlight w:val="none"/>
              </w:rPr>
            </w:pPr>
          </w:p>
        </w:tc>
        <w:tc>
          <w:tcPr>
            <w:tcW w:w="494" w:type="dxa"/>
          </w:tcPr>
          <w:p w14:paraId="76E86B66">
            <w:pPr>
              <w:pStyle w:val="6"/>
              <w:snapToGrid w:val="0"/>
              <w:spacing w:after="0" w:line="240" w:lineRule="auto"/>
              <w:jc w:val="center"/>
              <w:rPr>
                <w:rFonts w:ascii="仿宋" w:hAnsi="仿宋" w:eastAsia="仿宋"/>
                <w:color w:val="auto"/>
                <w:sz w:val="24"/>
                <w:szCs w:val="24"/>
                <w:highlight w:val="none"/>
              </w:rPr>
            </w:pPr>
          </w:p>
        </w:tc>
        <w:tc>
          <w:tcPr>
            <w:tcW w:w="856" w:type="dxa"/>
          </w:tcPr>
          <w:p w14:paraId="462B2FB7">
            <w:pPr>
              <w:pStyle w:val="6"/>
              <w:snapToGrid w:val="0"/>
              <w:spacing w:after="0" w:line="240" w:lineRule="auto"/>
              <w:rPr>
                <w:rFonts w:ascii="仿宋" w:hAnsi="仿宋" w:eastAsia="仿宋"/>
                <w:color w:val="auto"/>
                <w:sz w:val="24"/>
                <w:szCs w:val="24"/>
                <w:highlight w:val="none"/>
              </w:rPr>
            </w:pPr>
          </w:p>
        </w:tc>
        <w:tc>
          <w:tcPr>
            <w:tcW w:w="903" w:type="dxa"/>
          </w:tcPr>
          <w:p w14:paraId="3128FAA7">
            <w:pPr>
              <w:pStyle w:val="6"/>
              <w:snapToGrid w:val="0"/>
              <w:spacing w:after="0" w:line="240" w:lineRule="auto"/>
              <w:rPr>
                <w:rFonts w:ascii="仿宋" w:hAnsi="仿宋" w:eastAsia="仿宋"/>
                <w:color w:val="auto"/>
                <w:sz w:val="24"/>
                <w:szCs w:val="24"/>
                <w:highlight w:val="none"/>
              </w:rPr>
            </w:pPr>
          </w:p>
        </w:tc>
        <w:tc>
          <w:tcPr>
            <w:tcW w:w="1232" w:type="dxa"/>
          </w:tcPr>
          <w:p w14:paraId="22787A0E">
            <w:pPr>
              <w:pStyle w:val="6"/>
              <w:snapToGrid w:val="0"/>
              <w:spacing w:after="0" w:line="240" w:lineRule="auto"/>
              <w:rPr>
                <w:rFonts w:ascii="仿宋" w:hAnsi="仿宋" w:eastAsia="仿宋"/>
                <w:color w:val="auto"/>
                <w:sz w:val="24"/>
                <w:szCs w:val="24"/>
                <w:highlight w:val="none"/>
              </w:rPr>
            </w:pPr>
          </w:p>
        </w:tc>
      </w:tr>
      <w:tr w14:paraId="76D84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26240BF0">
            <w:pPr>
              <w:pStyle w:val="6"/>
              <w:snapToGrid w:val="0"/>
              <w:spacing w:after="0" w:line="240" w:lineRule="auto"/>
              <w:rPr>
                <w:rFonts w:ascii="仿宋" w:hAnsi="仿宋" w:eastAsia="仿宋"/>
                <w:color w:val="auto"/>
                <w:sz w:val="24"/>
                <w:szCs w:val="24"/>
                <w:highlight w:val="none"/>
              </w:rPr>
            </w:pPr>
          </w:p>
        </w:tc>
        <w:tc>
          <w:tcPr>
            <w:tcW w:w="1270" w:type="dxa"/>
          </w:tcPr>
          <w:p w14:paraId="27539244">
            <w:pPr>
              <w:pStyle w:val="6"/>
              <w:snapToGrid w:val="0"/>
              <w:spacing w:after="0" w:line="240" w:lineRule="auto"/>
              <w:rPr>
                <w:rFonts w:ascii="仿宋" w:hAnsi="仿宋" w:eastAsia="仿宋"/>
                <w:color w:val="auto"/>
                <w:sz w:val="24"/>
                <w:szCs w:val="24"/>
                <w:highlight w:val="none"/>
              </w:rPr>
            </w:pPr>
          </w:p>
        </w:tc>
        <w:tc>
          <w:tcPr>
            <w:tcW w:w="2574" w:type="dxa"/>
          </w:tcPr>
          <w:p w14:paraId="47AF1517">
            <w:pPr>
              <w:pStyle w:val="6"/>
              <w:snapToGrid w:val="0"/>
              <w:spacing w:after="0" w:line="240" w:lineRule="auto"/>
              <w:rPr>
                <w:rFonts w:ascii="仿宋" w:hAnsi="仿宋" w:eastAsia="仿宋"/>
                <w:color w:val="auto"/>
                <w:sz w:val="24"/>
                <w:szCs w:val="24"/>
                <w:highlight w:val="none"/>
              </w:rPr>
            </w:pPr>
          </w:p>
        </w:tc>
        <w:tc>
          <w:tcPr>
            <w:tcW w:w="494" w:type="dxa"/>
          </w:tcPr>
          <w:p w14:paraId="48FF1EC6">
            <w:pPr>
              <w:pStyle w:val="6"/>
              <w:snapToGrid w:val="0"/>
              <w:spacing w:after="0" w:line="240" w:lineRule="auto"/>
              <w:rPr>
                <w:rFonts w:ascii="仿宋" w:hAnsi="仿宋" w:eastAsia="仿宋"/>
                <w:color w:val="auto"/>
                <w:sz w:val="24"/>
                <w:szCs w:val="24"/>
                <w:highlight w:val="none"/>
              </w:rPr>
            </w:pPr>
          </w:p>
        </w:tc>
        <w:tc>
          <w:tcPr>
            <w:tcW w:w="494" w:type="dxa"/>
          </w:tcPr>
          <w:p w14:paraId="6BB35BEE">
            <w:pPr>
              <w:pStyle w:val="6"/>
              <w:snapToGrid w:val="0"/>
              <w:spacing w:after="0" w:line="240" w:lineRule="auto"/>
              <w:rPr>
                <w:rFonts w:ascii="仿宋" w:hAnsi="仿宋" w:eastAsia="仿宋"/>
                <w:color w:val="auto"/>
                <w:sz w:val="24"/>
                <w:szCs w:val="24"/>
                <w:highlight w:val="none"/>
              </w:rPr>
            </w:pPr>
          </w:p>
        </w:tc>
        <w:tc>
          <w:tcPr>
            <w:tcW w:w="856" w:type="dxa"/>
          </w:tcPr>
          <w:p w14:paraId="3D0ACF10">
            <w:pPr>
              <w:pStyle w:val="6"/>
              <w:snapToGrid w:val="0"/>
              <w:spacing w:after="0" w:line="240" w:lineRule="auto"/>
              <w:rPr>
                <w:rFonts w:ascii="仿宋" w:hAnsi="仿宋" w:eastAsia="仿宋"/>
                <w:color w:val="auto"/>
                <w:sz w:val="24"/>
                <w:szCs w:val="24"/>
                <w:highlight w:val="none"/>
              </w:rPr>
            </w:pPr>
          </w:p>
        </w:tc>
        <w:tc>
          <w:tcPr>
            <w:tcW w:w="903" w:type="dxa"/>
          </w:tcPr>
          <w:p w14:paraId="4DA7B2D4">
            <w:pPr>
              <w:pStyle w:val="6"/>
              <w:snapToGrid w:val="0"/>
              <w:spacing w:after="0" w:line="240" w:lineRule="auto"/>
              <w:rPr>
                <w:rFonts w:ascii="仿宋" w:hAnsi="仿宋" w:eastAsia="仿宋"/>
                <w:color w:val="auto"/>
                <w:sz w:val="24"/>
                <w:szCs w:val="24"/>
                <w:highlight w:val="none"/>
              </w:rPr>
            </w:pPr>
          </w:p>
        </w:tc>
        <w:tc>
          <w:tcPr>
            <w:tcW w:w="1232" w:type="dxa"/>
          </w:tcPr>
          <w:p w14:paraId="7DF73CF2">
            <w:pPr>
              <w:pStyle w:val="6"/>
              <w:snapToGrid w:val="0"/>
              <w:spacing w:after="0" w:line="240" w:lineRule="auto"/>
              <w:rPr>
                <w:rFonts w:ascii="仿宋" w:hAnsi="仿宋" w:eastAsia="仿宋"/>
                <w:color w:val="auto"/>
                <w:sz w:val="24"/>
                <w:szCs w:val="24"/>
                <w:highlight w:val="none"/>
              </w:rPr>
            </w:pPr>
          </w:p>
        </w:tc>
      </w:tr>
      <w:tr w14:paraId="4BE9B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00D12804">
            <w:pPr>
              <w:pStyle w:val="6"/>
              <w:snapToGrid w:val="0"/>
              <w:spacing w:after="0" w:line="240" w:lineRule="auto"/>
              <w:rPr>
                <w:rFonts w:ascii="仿宋" w:hAnsi="仿宋" w:eastAsia="仿宋"/>
                <w:color w:val="auto"/>
                <w:sz w:val="24"/>
                <w:szCs w:val="24"/>
                <w:highlight w:val="none"/>
              </w:rPr>
            </w:pPr>
          </w:p>
        </w:tc>
        <w:tc>
          <w:tcPr>
            <w:tcW w:w="1270" w:type="dxa"/>
          </w:tcPr>
          <w:p w14:paraId="6264181A">
            <w:pPr>
              <w:pStyle w:val="6"/>
              <w:snapToGrid w:val="0"/>
              <w:spacing w:after="0" w:line="240" w:lineRule="auto"/>
              <w:rPr>
                <w:rFonts w:ascii="仿宋" w:hAnsi="仿宋" w:eastAsia="仿宋"/>
                <w:color w:val="auto"/>
                <w:sz w:val="24"/>
                <w:szCs w:val="24"/>
                <w:highlight w:val="none"/>
              </w:rPr>
            </w:pPr>
          </w:p>
        </w:tc>
        <w:tc>
          <w:tcPr>
            <w:tcW w:w="2574" w:type="dxa"/>
          </w:tcPr>
          <w:p w14:paraId="4A39E0A7">
            <w:pPr>
              <w:pStyle w:val="6"/>
              <w:snapToGrid w:val="0"/>
              <w:spacing w:after="0" w:line="240" w:lineRule="auto"/>
              <w:rPr>
                <w:rFonts w:ascii="仿宋" w:hAnsi="仿宋" w:eastAsia="仿宋"/>
                <w:color w:val="auto"/>
                <w:sz w:val="24"/>
                <w:szCs w:val="24"/>
                <w:highlight w:val="none"/>
              </w:rPr>
            </w:pPr>
          </w:p>
        </w:tc>
        <w:tc>
          <w:tcPr>
            <w:tcW w:w="494" w:type="dxa"/>
          </w:tcPr>
          <w:p w14:paraId="0E738F9D">
            <w:pPr>
              <w:pStyle w:val="6"/>
              <w:snapToGrid w:val="0"/>
              <w:spacing w:after="0" w:line="240" w:lineRule="auto"/>
              <w:rPr>
                <w:rFonts w:ascii="仿宋" w:hAnsi="仿宋" w:eastAsia="仿宋"/>
                <w:color w:val="auto"/>
                <w:sz w:val="24"/>
                <w:szCs w:val="24"/>
                <w:highlight w:val="none"/>
              </w:rPr>
            </w:pPr>
          </w:p>
        </w:tc>
        <w:tc>
          <w:tcPr>
            <w:tcW w:w="494" w:type="dxa"/>
          </w:tcPr>
          <w:p w14:paraId="72DBB1E7">
            <w:pPr>
              <w:pStyle w:val="6"/>
              <w:snapToGrid w:val="0"/>
              <w:spacing w:after="0" w:line="240" w:lineRule="auto"/>
              <w:rPr>
                <w:rFonts w:ascii="仿宋" w:hAnsi="仿宋" w:eastAsia="仿宋"/>
                <w:color w:val="auto"/>
                <w:sz w:val="24"/>
                <w:szCs w:val="24"/>
                <w:highlight w:val="none"/>
              </w:rPr>
            </w:pPr>
          </w:p>
        </w:tc>
        <w:tc>
          <w:tcPr>
            <w:tcW w:w="856" w:type="dxa"/>
          </w:tcPr>
          <w:p w14:paraId="4B21C670">
            <w:pPr>
              <w:pStyle w:val="6"/>
              <w:snapToGrid w:val="0"/>
              <w:spacing w:after="0" w:line="240" w:lineRule="auto"/>
              <w:rPr>
                <w:rFonts w:ascii="仿宋" w:hAnsi="仿宋" w:eastAsia="仿宋"/>
                <w:color w:val="auto"/>
                <w:sz w:val="24"/>
                <w:szCs w:val="24"/>
                <w:highlight w:val="none"/>
              </w:rPr>
            </w:pPr>
          </w:p>
        </w:tc>
        <w:tc>
          <w:tcPr>
            <w:tcW w:w="903" w:type="dxa"/>
          </w:tcPr>
          <w:p w14:paraId="260DFFD6">
            <w:pPr>
              <w:pStyle w:val="6"/>
              <w:snapToGrid w:val="0"/>
              <w:spacing w:after="0" w:line="240" w:lineRule="auto"/>
              <w:rPr>
                <w:rFonts w:ascii="仿宋" w:hAnsi="仿宋" w:eastAsia="仿宋"/>
                <w:color w:val="auto"/>
                <w:sz w:val="24"/>
                <w:szCs w:val="24"/>
                <w:highlight w:val="none"/>
              </w:rPr>
            </w:pPr>
          </w:p>
        </w:tc>
        <w:tc>
          <w:tcPr>
            <w:tcW w:w="1232" w:type="dxa"/>
          </w:tcPr>
          <w:p w14:paraId="3448FB5D">
            <w:pPr>
              <w:pStyle w:val="6"/>
              <w:snapToGrid w:val="0"/>
              <w:spacing w:after="0" w:line="240" w:lineRule="auto"/>
              <w:rPr>
                <w:rFonts w:ascii="仿宋" w:hAnsi="仿宋" w:eastAsia="仿宋"/>
                <w:color w:val="auto"/>
                <w:sz w:val="24"/>
                <w:szCs w:val="24"/>
                <w:highlight w:val="none"/>
              </w:rPr>
            </w:pPr>
          </w:p>
        </w:tc>
      </w:tr>
      <w:tr w14:paraId="5742F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6F119455">
            <w:pPr>
              <w:pStyle w:val="6"/>
              <w:snapToGrid w:val="0"/>
              <w:spacing w:after="0" w:line="240" w:lineRule="auto"/>
              <w:rPr>
                <w:rFonts w:ascii="仿宋" w:hAnsi="仿宋" w:eastAsia="仿宋"/>
                <w:color w:val="auto"/>
                <w:sz w:val="24"/>
                <w:szCs w:val="24"/>
                <w:highlight w:val="none"/>
              </w:rPr>
            </w:pPr>
          </w:p>
        </w:tc>
        <w:tc>
          <w:tcPr>
            <w:tcW w:w="1270" w:type="dxa"/>
          </w:tcPr>
          <w:p w14:paraId="3C744A12">
            <w:pPr>
              <w:pStyle w:val="6"/>
              <w:snapToGrid w:val="0"/>
              <w:spacing w:after="0" w:line="240" w:lineRule="auto"/>
              <w:rPr>
                <w:rFonts w:ascii="仿宋" w:hAnsi="仿宋" w:eastAsia="仿宋"/>
                <w:color w:val="auto"/>
                <w:sz w:val="24"/>
                <w:szCs w:val="24"/>
                <w:highlight w:val="none"/>
              </w:rPr>
            </w:pPr>
          </w:p>
        </w:tc>
        <w:tc>
          <w:tcPr>
            <w:tcW w:w="2574" w:type="dxa"/>
          </w:tcPr>
          <w:p w14:paraId="2DEE6150">
            <w:pPr>
              <w:pStyle w:val="6"/>
              <w:snapToGrid w:val="0"/>
              <w:spacing w:after="0" w:line="240" w:lineRule="auto"/>
              <w:rPr>
                <w:rFonts w:ascii="仿宋" w:hAnsi="仿宋" w:eastAsia="仿宋"/>
                <w:color w:val="auto"/>
                <w:sz w:val="24"/>
                <w:szCs w:val="24"/>
                <w:highlight w:val="none"/>
              </w:rPr>
            </w:pPr>
          </w:p>
        </w:tc>
        <w:tc>
          <w:tcPr>
            <w:tcW w:w="494" w:type="dxa"/>
          </w:tcPr>
          <w:p w14:paraId="0EC0D38D">
            <w:pPr>
              <w:pStyle w:val="6"/>
              <w:snapToGrid w:val="0"/>
              <w:spacing w:after="0" w:line="240" w:lineRule="auto"/>
              <w:rPr>
                <w:rFonts w:ascii="仿宋" w:hAnsi="仿宋" w:eastAsia="仿宋"/>
                <w:color w:val="auto"/>
                <w:sz w:val="24"/>
                <w:szCs w:val="24"/>
                <w:highlight w:val="none"/>
              </w:rPr>
            </w:pPr>
          </w:p>
        </w:tc>
        <w:tc>
          <w:tcPr>
            <w:tcW w:w="494" w:type="dxa"/>
          </w:tcPr>
          <w:p w14:paraId="7279E507">
            <w:pPr>
              <w:pStyle w:val="6"/>
              <w:snapToGrid w:val="0"/>
              <w:spacing w:after="0" w:line="240" w:lineRule="auto"/>
              <w:rPr>
                <w:rFonts w:ascii="仿宋" w:hAnsi="仿宋" w:eastAsia="仿宋"/>
                <w:color w:val="auto"/>
                <w:sz w:val="24"/>
                <w:szCs w:val="24"/>
                <w:highlight w:val="none"/>
              </w:rPr>
            </w:pPr>
          </w:p>
        </w:tc>
        <w:tc>
          <w:tcPr>
            <w:tcW w:w="856" w:type="dxa"/>
          </w:tcPr>
          <w:p w14:paraId="0BD83CFA">
            <w:pPr>
              <w:pStyle w:val="6"/>
              <w:snapToGrid w:val="0"/>
              <w:spacing w:after="0" w:line="240" w:lineRule="auto"/>
              <w:rPr>
                <w:rFonts w:ascii="仿宋" w:hAnsi="仿宋" w:eastAsia="仿宋"/>
                <w:color w:val="auto"/>
                <w:sz w:val="24"/>
                <w:szCs w:val="24"/>
                <w:highlight w:val="none"/>
              </w:rPr>
            </w:pPr>
          </w:p>
        </w:tc>
        <w:tc>
          <w:tcPr>
            <w:tcW w:w="903" w:type="dxa"/>
          </w:tcPr>
          <w:p w14:paraId="628B4B5D">
            <w:pPr>
              <w:pStyle w:val="6"/>
              <w:snapToGrid w:val="0"/>
              <w:spacing w:after="0" w:line="240" w:lineRule="auto"/>
              <w:rPr>
                <w:rFonts w:ascii="仿宋" w:hAnsi="仿宋" w:eastAsia="仿宋"/>
                <w:color w:val="auto"/>
                <w:sz w:val="24"/>
                <w:szCs w:val="24"/>
                <w:highlight w:val="none"/>
              </w:rPr>
            </w:pPr>
          </w:p>
        </w:tc>
        <w:tc>
          <w:tcPr>
            <w:tcW w:w="1232" w:type="dxa"/>
          </w:tcPr>
          <w:p w14:paraId="506F278D">
            <w:pPr>
              <w:pStyle w:val="6"/>
              <w:snapToGrid w:val="0"/>
              <w:spacing w:after="0" w:line="240" w:lineRule="auto"/>
              <w:rPr>
                <w:rFonts w:ascii="仿宋" w:hAnsi="仿宋" w:eastAsia="仿宋"/>
                <w:color w:val="auto"/>
                <w:sz w:val="24"/>
                <w:szCs w:val="24"/>
                <w:highlight w:val="none"/>
              </w:rPr>
            </w:pPr>
          </w:p>
        </w:tc>
      </w:tr>
      <w:tr w14:paraId="709F2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1BC04D4B">
            <w:pPr>
              <w:pStyle w:val="6"/>
              <w:snapToGrid w:val="0"/>
              <w:spacing w:after="0" w:line="240" w:lineRule="auto"/>
              <w:rPr>
                <w:rFonts w:ascii="仿宋" w:hAnsi="仿宋" w:eastAsia="仿宋"/>
                <w:color w:val="auto"/>
                <w:sz w:val="24"/>
                <w:szCs w:val="24"/>
                <w:highlight w:val="none"/>
              </w:rPr>
            </w:pPr>
          </w:p>
        </w:tc>
        <w:tc>
          <w:tcPr>
            <w:tcW w:w="1270" w:type="dxa"/>
          </w:tcPr>
          <w:p w14:paraId="76F718F2">
            <w:pPr>
              <w:pStyle w:val="6"/>
              <w:snapToGrid w:val="0"/>
              <w:spacing w:after="0" w:line="240" w:lineRule="auto"/>
              <w:rPr>
                <w:rFonts w:ascii="仿宋" w:hAnsi="仿宋" w:eastAsia="仿宋"/>
                <w:color w:val="auto"/>
                <w:sz w:val="24"/>
                <w:szCs w:val="24"/>
                <w:highlight w:val="none"/>
              </w:rPr>
            </w:pPr>
          </w:p>
        </w:tc>
        <w:tc>
          <w:tcPr>
            <w:tcW w:w="2574" w:type="dxa"/>
          </w:tcPr>
          <w:p w14:paraId="58FCF653">
            <w:pPr>
              <w:pStyle w:val="6"/>
              <w:snapToGrid w:val="0"/>
              <w:spacing w:after="0" w:line="240" w:lineRule="auto"/>
              <w:rPr>
                <w:rFonts w:ascii="仿宋" w:hAnsi="仿宋" w:eastAsia="仿宋"/>
                <w:color w:val="auto"/>
                <w:sz w:val="24"/>
                <w:szCs w:val="24"/>
                <w:highlight w:val="none"/>
              </w:rPr>
            </w:pPr>
          </w:p>
        </w:tc>
        <w:tc>
          <w:tcPr>
            <w:tcW w:w="494" w:type="dxa"/>
          </w:tcPr>
          <w:p w14:paraId="3E0CB08E">
            <w:pPr>
              <w:pStyle w:val="6"/>
              <w:snapToGrid w:val="0"/>
              <w:spacing w:after="0" w:line="240" w:lineRule="auto"/>
              <w:rPr>
                <w:rFonts w:ascii="仿宋" w:hAnsi="仿宋" w:eastAsia="仿宋"/>
                <w:color w:val="auto"/>
                <w:sz w:val="24"/>
                <w:szCs w:val="24"/>
                <w:highlight w:val="none"/>
              </w:rPr>
            </w:pPr>
          </w:p>
        </w:tc>
        <w:tc>
          <w:tcPr>
            <w:tcW w:w="494" w:type="dxa"/>
          </w:tcPr>
          <w:p w14:paraId="32376EDF">
            <w:pPr>
              <w:pStyle w:val="6"/>
              <w:snapToGrid w:val="0"/>
              <w:spacing w:after="0" w:line="240" w:lineRule="auto"/>
              <w:rPr>
                <w:rFonts w:ascii="仿宋" w:hAnsi="仿宋" w:eastAsia="仿宋"/>
                <w:color w:val="auto"/>
                <w:sz w:val="24"/>
                <w:szCs w:val="24"/>
                <w:highlight w:val="none"/>
              </w:rPr>
            </w:pPr>
          </w:p>
        </w:tc>
        <w:tc>
          <w:tcPr>
            <w:tcW w:w="856" w:type="dxa"/>
          </w:tcPr>
          <w:p w14:paraId="3E366862">
            <w:pPr>
              <w:pStyle w:val="6"/>
              <w:snapToGrid w:val="0"/>
              <w:spacing w:after="0" w:line="240" w:lineRule="auto"/>
              <w:rPr>
                <w:rFonts w:ascii="仿宋" w:hAnsi="仿宋" w:eastAsia="仿宋"/>
                <w:color w:val="auto"/>
                <w:sz w:val="24"/>
                <w:szCs w:val="24"/>
                <w:highlight w:val="none"/>
              </w:rPr>
            </w:pPr>
          </w:p>
        </w:tc>
        <w:tc>
          <w:tcPr>
            <w:tcW w:w="903" w:type="dxa"/>
          </w:tcPr>
          <w:p w14:paraId="1CD579E2">
            <w:pPr>
              <w:pStyle w:val="6"/>
              <w:snapToGrid w:val="0"/>
              <w:spacing w:after="0" w:line="240" w:lineRule="auto"/>
              <w:rPr>
                <w:rFonts w:ascii="仿宋" w:hAnsi="仿宋" w:eastAsia="仿宋"/>
                <w:color w:val="auto"/>
                <w:sz w:val="24"/>
                <w:szCs w:val="24"/>
                <w:highlight w:val="none"/>
              </w:rPr>
            </w:pPr>
          </w:p>
        </w:tc>
        <w:tc>
          <w:tcPr>
            <w:tcW w:w="1232" w:type="dxa"/>
          </w:tcPr>
          <w:p w14:paraId="55B72342">
            <w:pPr>
              <w:pStyle w:val="6"/>
              <w:snapToGrid w:val="0"/>
              <w:spacing w:after="0" w:line="240" w:lineRule="auto"/>
              <w:rPr>
                <w:rFonts w:ascii="仿宋" w:hAnsi="仿宋" w:eastAsia="仿宋"/>
                <w:color w:val="auto"/>
                <w:sz w:val="24"/>
                <w:szCs w:val="24"/>
                <w:highlight w:val="none"/>
              </w:rPr>
            </w:pPr>
          </w:p>
        </w:tc>
      </w:tr>
      <w:tr w14:paraId="4AC79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4DB10887">
            <w:pPr>
              <w:pStyle w:val="6"/>
              <w:snapToGrid w:val="0"/>
              <w:spacing w:after="0" w:line="240" w:lineRule="auto"/>
              <w:rPr>
                <w:rFonts w:ascii="仿宋" w:hAnsi="仿宋" w:eastAsia="仿宋"/>
                <w:color w:val="auto"/>
                <w:sz w:val="24"/>
                <w:szCs w:val="24"/>
                <w:highlight w:val="none"/>
              </w:rPr>
            </w:pPr>
          </w:p>
        </w:tc>
        <w:tc>
          <w:tcPr>
            <w:tcW w:w="1270" w:type="dxa"/>
          </w:tcPr>
          <w:p w14:paraId="0359735F">
            <w:pPr>
              <w:pStyle w:val="6"/>
              <w:snapToGrid w:val="0"/>
              <w:spacing w:after="0" w:line="240" w:lineRule="auto"/>
              <w:rPr>
                <w:rFonts w:ascii="仿宋" w:hAnsi="仿宋" w:eastAsia="仿宋"/>
                <w:color w:val="auto"/>
                <w:sz w:val="24"/>
                <w:szCs w:val="24"/>
                <w:highlight w:val="none"/>
              </w:rPr>
            </w:pPr>
          </w:p>
        </w:tc>
        <w:tc>
          <w:tcPr>
            <w:tcW w:w="2574" w:type="dxa"/>
          </w:tcPr>
          <w:p w14:paraId="6B329DD8">
            <w:pPr>
              <w:pStyle w:val="6"/>
              <w:snapToGrid w:val="0"/>
              <w:spacing w:after="0" w:line="240" w:lineRule="auto"/>
              <w:rPr>
                <w:rFonts w:ascii="仿宋" w:hAnsi="仿宋" w:eastAsia="仿宋"/>
                <w:color w:val="auto"/>
                <w:sz w:val="24"/>
                <w:szCs w:val="24"/>
                <w:highlight w:val="none"/>
              </w:rPr>
            </w:pPr>
          </w:p>
        </w:tc>
        <w:tc>
          <w:tcPr>
            <w:tcW w:w="494" w:type="dxa"/>
          </w:tcPr>
          <w:p w14:paraId="60052163">
            <w:pPr>
              <w:pStyle w:val="6"/>
              <w:snapToGrid w:val="0"/>
              <w:spacing w:after="0" w:line="240" w:lineRule="auto"/>
              <w:rPr>
                <w:rFonts w:ascii="仿宋" w:hAnsi="仿宋" w:eastAsia="仿宋"/>
                <w:color w:val="auto"/>
                <w:sz w:val="24"/>
                <w:szCs w:val="24"/>
                <w:highlight w:val="none"/>
              </w:rPr>
            </w:pPr>
          </w:p>
        </w:tc>
        <w:tc>
          <w:tcPr>
            <w:tcW w:w="494" w:type="dxa"/>
          </w:tcPr>
          <w:p w14:paraId="6ED3D2CB">
            <w:pPr>
              <w:pStyle w:val="6"/>
              <w:snapToGrid w:val="0"/>
              <w:spacing w:after="0" w:line="240" w:lineRule="auto"/>
              <w:rPr>
                <w:rFonts w:ascii="仿宋" w:hAnsi="仿宋" w:eastAsia="仿宋"/>
                <w:color w:val="auto"/>
                <w:sz w:val="24"/>
                <w:szCs w:val="24"/>
                <w:highlight w:val="none"/>
              </w:rPr>
            </w:pPr>
          </w:p>
        </w:tc>
        <w:tc>
          <w:tcPr>
            <w:tcW w:w="856" w:type="dxa"/>
          </w:tcPr>
          <w:p w14:paraId="47C8134B">
            <w:pPr>
              <w:pStyle w:val="6"/>
              <w:snapToGrid w:val="0"/>
              <w:spacing w:after="0" w:line="240" w:lineRule="auto"/>
              <w:rPr>
                <w:rFonts w:ascii="仿宋" w:hAnsi="仿宋" w:eastAsia="仿宋"/>
                <w:color w:val="auto"/>
                <w:sz w:val="24"/>
                <w:szCs w:val="24"/>
                <w:highlight w:val="none"/>
              </w:rPr>
            </w:pPr>
          </w:p>
        </w:tc>
        <w:tc>
          <w:tcPr>
            <w:tcW w:w="903" w:type="dxa"/>
          </w:tcPr>
          <w:p w14:paraId="27E85C98">
            <w:pPr>
              <w:pStyle w:val="6"/>
              <w:snapToGrid w:val="0"/>
              <w:spacing w:after="0" w:line="240" w:lineRule="auto"/>
              <w:rPr>
                <w:rFonts w:ascii="仿宋" w:hAnsi="仿宋" w:eastAsia="仿宋"/>
                <w:color w:val="auto"/>
                <w:sz w:val="24"/>
                <w:szCs w:val="24"/>
                <w:highlight w:val="none"/>
              </w:rPr>
            </w:pPr>
          </w:p>
        </w:tc>
        <w:tc>
          <w:tcPr>
            <w:tcW w:w="1232" w:type="dxa"/>
          </w:tcPr>
          <w:p w14:paraId="415E2FAD">
            <w:pPr>
              <w:pStyle w:val="6"/>
              <w:snapToGrid w:val="0"/>
              <w:spacing w:after="0" w:line="240" w:lineRule="auto"/>
              <w:rPr>
                <w:rFonts w:ascii="仿宋" w:hAnsi="仿宋" w:eastAsia="仿宋"/>
                <w:color w:val="auto"/>
                <w:sz w:val="24"/>
                <w:szCs w:val="24"/>
                <w:highlight w:val="none"/>
              </w:rPr>
            </w:pPr>
          </w:p>
        </w:tc>
      </w:tr>
      <w:tr w14:paraId="0DB02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025B0D3B">
            <w:pPr>
              <w:pStyle w:val="6"/>
              <w:snapToGrid w:val="0"/>
              <w:spacing w:after="0" w:line="240" w:lineRule="auto"/>
              <w:rPr>
                <w:rFonts w:ascii="仿宋" w:hAnsi="仿宋" w:eastAsia="仿宋"/>
                <w:color w:val="auto"/>
                <w:sz w:val="24"/>
                <w:szCs w:val="24"/>
                <w:highlight w:val="none"/>
              </w:rPr>
            </w:pPr>
          </w:p>
        </w:tc>
        <w:tc>
          <w:tcPr>
            <w:tcW w:w="1270" w:type="dxa"/>
          </w:tcPr>
          <w:p w14:paraId="5D9756BD">
            <w:pPr>
              <w:pStyle w:val="6"/>
              <w:snapToGrid w:val="0"/>
              <w:spacing w:after="0" w:line="240" w:lineRule="auto"/>
              <w:rPr>
                <w:rFonts w:ascii="仿宋" w:hAnsi="仿宋" w:eastAsia="仿宋"/>
                <w:color w:val="auto"/>
                <w:sz w:val="24"/>
                <w:szCs w:val="24"/>
                <w:highlight w:val="none"/>
              </w:rPr>
            </w:pPr>
          </w:p>
        </w:tc>
        <w:tc>
          <w:tcPr>
            <w:tcW w:w="4418" w:type="dxa"/>
            <w:gridSpan w:val="4"/>
          </w:tcPr>
          <w:p w14:paraId="32910BA5">
            <w:pPr>
              <w:pStyle w:val="6"/>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易耗品</w:t>
            </w:r>
          </w:p>
        </w:tc>
        <w:tc>
          <w:tcPr>
            <w:tcW w:w="903" w:type="dxa"/>
          </w:tcPr>
          <w:p w14:paraId="4479106B">
            <w:pPr>
              <w:pStyle w:val="6"/>
              <w:snapToGrid w:val="0"/>
              <w:spacing w:after="0" w:line="240" w:lineRule="auto"/>
              <w:rPr>
                <w:rFonts w:ascii="仿宋" w:hAnsi="仿宋" w:eastAsia="仿宋"/>
                <w:color w:val="auto"/>
                <w:sz w:val="24"/>
                <w:szCs w:val="24"/>
                <w:highlight w:val="none"/>
              </w:rPr>
            </w:pPr>
          </w:p>
        </w:tc>
        <w:tc>
          <w:tcPr>
            <w:tcW w:w="1232" w:type="dxa"/>
          </w:tcPr>
          <w:p w14:paraId="4F579E07">
            <w:pPr>
              <w:pStyle w:val="6"/>
              <w:snapToGrid w:val="0"/>
              <w:spacing w:after="0" w:line="240" w:lineRule="auto"/>
              <w:rPr>
                <w:rFonts w:ascii="仿宋" w:hAnsi="仿宋" w:eastAsia="仿宋"/>
                <w:color w:val="auto"/>
                <w:sz w:val="24"/>
                <w:szCs w:val="24"/>
                <w:highlight w:val="none"/>
              </w:rPr>
            </w:pPr>
          </w:p>
        </w:tc>
      </w:tr>
      <w:tr w14:paraId="0CF8B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1E21A5E1">
            <w:pPr>
              <w:pStyle w:val="6"/>
              <w:snapToGrid w:val="0"/>
              <w:spacing w:after="0" w:line="240" w:lineRule="auto"/>
              <w:rPr>
                <w:rFonts w:ascii="仿宋" w:hAnsi="仿宋" w:eastAsia="仿宋"/>
                <w:color w:val="auto"/>
                <w:sz w:val="24"/>
                <w:szCs w:val="24"/>
                <w:highlight w:val="none"/>
              </w:rPr>
            </w:pPr>
          </w:p>
        </w:tc>
        <w:tc>
          <w:tcPr>
            <w:tcW w:w="1270" w:type="dxa"/>
          </w:tcPr>
          <w:p w14:paraId="54E8A012">
            <w:pPr>
              <w:pStyle w:val="6"/>
              <w:snapToGrid w:val="0"/>
              <w:spacing w:after="0" w:line="240" w:lineRule="auto"/>
              <w:rPr>
                <w:rFonts w:ascii="仿宋" w:hAnsi="仿宋" w:eastAsia="仿宋"/>
                <w:color w:val="auto"/>
                <w:sz w:val="24"/>
                <w:szCs w:val="24"/>
                <w:highlight w:val="none"/>
              </w:rPr>
            </w:pPr>
          </w:p>
        </w:tc>
        <w:tc>
          <w:tcPr>
            <w:tcW w:w="4418" w:type="dxa"/>
            <w:gridSpan w:val="4"/>
          </w:tcPr>
          <w:p w14:paraId="1834EA0A">
            <w:pPr>
              <w:pStyle w:val="6"/>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专用工具</w:t>
            </w:r>
          </w:p>
        </w:tc>
        <w:tc>
          <w:tcPr>
            <w:tcW w:w="903" w:type="dxa"/>
          </w:tcPr>
          <w:p w14:paraId="7086823F">
            <w:pPr>
              <w:pStyle w:val="6"/>
              <w:snapToGrid w:val="0"/>
              <w:spacing w:after="0" w:line="240" w:lineRule="auto"/>
              <w:rPr>
                <w:rFonts w:ascii="仿宋" w:hAnsi="仿宋" w:eastAsia="仿宋"/>
                <w:color w:val="auto"/>
                <w:sz w:val="24"/>
                <w:szCs w:val="24"/>
                <w:highlight w:val="none"/>
              </w:rPr>
            </w:pPr>
          </w:p>
        </w:tc>
        <w:tc>
          <w:tcPr>
            <w:tcW w:w="1232" w:type="dxa"/>
          </w:tcPr>
          <w:p w14:paraId="492045F7">
            <w:pPr>
              <w:pStyle w:val="6"/>
              <w:snapToGrid w:val="0"/>
              <w:spacing w:after="0" w:line="240" w:lineRule="auto"/>
              <w:rPr>
                <w:rFonts w:ascii="仿宋" w:hAnsi="仿宋" w:eastAsia="仿宋"/>
                <w:color w:val="auto"/>
                <w:sz w:val="24"/>
                <w:szCs w:val="24"/>
                <w:highlight w:val="none"/>
              </w:rPr>
            </w:pPr>
          </w:p>
        </w:tc>
      </w:tr>
      <w:tr w14:paraId="4E4A5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588C649C">
            <w:pPr>
              <w:pStyle w:val="6"/>
              <w:snapToGrid w:val="0"/>
              <w:spacing w:after="0" w:line="240" w:lineRule="auto"/>
              <w:rPr>
                <w:rFonts w:ascii="仿宋" w:hAnsi="仿宋" w:eastAsia="仿宋"/>
                <w:color w:val="auto"/>
                <w:sz w:val="24"/>
                <w:szCs w:val="24"/>
                <w:highlight w:val="none"/>
              </w:rPr>
            </w:pPr>
          </w:p>
        </w:tc>
        <w:tc>
          <w:tcPr>
            <w:tcW w:w="1270" w:type="dxa"/>
          </w:tcPr>
          <w:p w14:paraId="2BC307A7">
            <w:pPr>
              <w:pStyle w:val="6"/>
              <w:snapToGrid w:val="0"/>
              <w:spacing w:after="0" w:line="240" w:lineRule="auto"/>
              <w:rPr>
                <w:rFonts w:ascii="仿宋" w:hAnsi="仿宋" w:eastAsia="仿宋"/>
                <w:color w:val="auto"/>
                <w:sz w:val="24"/>
                <w:szCs w:val="24"/>
                <w:highlight w:val="none"/>
              </w:rPr>
            </w:pPr>
          </w:p>
        </w:tc>
        <w:tc>
          <w:tcPr>
            <w:tcW w:w="4418" w:type="dxa"/>
            <w:gridSpan w:val="4"/>
          </w:tcPr>
          <w:p w14:paraId="7BC54B58">
            <w:pPr>
              <w:pStyle w:val="6"/>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调试费</w:t>
            </w:r>
          </w:p>
        </w:tc>
        <w:tc>
          <w:tcPr>
            <w:tcW w:w="903" w:type="dxa"/>
          </w:tcPr>
          <w:p w14:paraId="31B3C8AC">
            <w:pPr>
              <w:pStyle w:val="6"/>
              <w:snapToGrid w:val="0"/>
              <w:spacing w:after="0" w:line="240" w:lineRule="auto"/>
              <w:rPr>
                <w:rFonts w:ascii="仿宋" w:hAnsi="仿宋" w:eastAsia="仿宋"/>
                <w:color w:val="auto"/>
                <w:sz w:val="24"/>
                <w:szCs w:val="24"/>
                <w:highlight w:val="none"/>
              </w:rPr>
            </w:pPr>
          </w:p>
        </w:tc>
        <w:tc>
          <w:tcPr>
            <w:tcW w:w="1232" w:type="dxa"/>
          </w:tcPr>
          <w:p w14:paraId="4C7FE758">
            <w:pPr>
              <w:pStyle w:val="6"/>
              <w:snapToGrid w:val="0"/>
              <w:spacing w:after="0" w:line="240" w:lineRule="auto"/>
              <w:rPr>
                <w:rFonts w:ascii="仿宋" w:hAnsi="仿宋" w:eastAsia="仿宋"/>
                <w:color w:val="auto"/>
                <w:sz w:val="24"/>
                <w:szCs w:val="24"/>
                <w:highlight w:val="none"/>
              </w:rPr>
            </w:pPr>
          </w:p>
        </w:tc>
      </w:tr>
      <w:tr w14:paraId="04F01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3B04DF58">
            <w:pPr>
              <w:pStyle w:val="6"/>
              <w:snapToGrid w:val="0"/>
              <w:spacing w:after="0" w:line="240" w:lineRule="auto"/>
              <w:rPr>
                <w:rFonts w:ascii="仿宋" w:hAnsi="仿宋" w:eastAsia="仿宋"/>
                <w:color w:val="auto"/>
                <w:sz w:val="24"/>
                <w:szCs w:val="24"/>
                <w:highlight w:val="none"/>
              </w:rPr>
            </w:pPr>
          </w:p>
        </w:tc>
        <w:tc>
          <w:tcPr>
            <w:tcW w:w="1270" w:type="dxa"/>
          </w:tcPr>
          <w:p w14:paraId="11BA94C2">
            <w:pPr>
              <w:pStyle w:val="6"/>
              <w:snapToGrid w:val="0"/>
              <w:spacing w:after="0" w:line="240" w:lineRule="auto"/>
              <w:rPr>
                <w:rFonts w:ascii="仿宋" w:hAnsi="仿宋" w:eastAsia="仿宋"/>
                <w:color w:val="auto"/>
                <w:sz w:val="24"/>
                <w:szCs w:val="24"/>
                <w:highlight w:val="none"/>
              </w:rPr>
            </w:pPr>
          </w:p>
        </w:tc>
        <w:tc>
          <w:tcPr>
            <w:tcW w:w="4418" w:type="dxa"/>
            <w:gridSpan w:val="4"/>
          </w:tcPr>
          <w:p w14:paraId="54645857">
            <w:pPr>
              <w:pStyle w:val="6"/>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培训费</w:t>
            </w:r>
          </w:p>
        </w:tc>
        <w:tc>
          <w:tcPr>
            <w:tcW w:w="903" w:type="dxa"/>
          </w:tcPr>
          <w:p w14:paraId="440928C1">
            <w:pPr>
              <w:pStyle w:val="6"/>
              <w:snapToGrid w:val="0"/>
              <w:spacing w:after="0" w:line="240" w:lineRule="auto"/>
              <w:rPr>
                <w:rFonts w:ascii="仿宋" w:hAnsi="仿宋" w:eastAsia="仿宋"/>
                <w:color w:val="auto"/>
                <w:sz w:val="24"/>
                <w:szCs w:val="24"/>
                <w:highlight w:val="none"/>
              </w:rPr>
            </w:pPr>
          </w:p>
        </w:tc>
        <w:tc>
          <w:tcPr>
            <w:tcW w:w="1232" w:type="dxa"/>
          </w:tcPr>
          <w:p w14:paraId="4D1DF29D">
            <w:pPr>
              <w:pStyle w:val="6"/>
              <w:snapToGrid w:val="0"/>
              <w:spacing w:after="0" w:line="240" w:lineRule="auto"/>
              <w:rPr>
                <w:rFonts w:ascii="仿宋" w:hAnsi="仿宋" w:eastAsia="仿宋"/>
                <w:color w:val="auto"/>
                <w:sz w:val="24"/>
                <w:szCs w:val="24"/>
                <w:highlight w:val="none"/>
              </w:rPr>
            </w:pPr>
          </w:p>
        </w:tc>
      </w:tr>
      <w:tr w14:paraId="7D33C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99" w:type="dxa"/>
          </w:tcPr>
          <w:p w14:paraId="73AB6125">
            <w:pPr>
              <w:pStyle w:val="6"/>
              <w:snapToGrid w:val="0"/>
              <w:spacing w:after="0" w:line="240" w:lineRule="auto"/>
              <w:rPr>
                <w:rFonts w:ascii="仿宋" w:hAnsi="仿宋" w:eastAsia="仿宋"/>
                <w:color w:val="auto"/>
                <w:sz w:val="24"/>
                <w:szCs w:val="24"/>
                <w:highlight w:val="none"/>
              </w:rPr>
            </w:pPr>
          </w:p>
        </w:tc>
        <w:tc>
          <w:tcPr>
            <w:tcW w:w="1270" w:type="dxa"/>
          </w:tcPr>
          <w:p w14:paraId="77BB464D">
            <w:pPr>
              <w:pStyle w:val="6"/>
              <w:snapToGrid w:val="0"/>
              <w:spacing w:after="0" w:line="240" w:lineRule="auto"/>
              <w:rPr>
                <w:rFonts w:ascii="仿宋" w:hAnsi="仿宋" w:eastAsia="仿宋"/>
                <w:color w:val="auto"/>
                <w:sz w:val="24"/>
                <w:szCs w:val="24"/>
                <w:highlight w:val="none"/>
              </w:rPr>
            </w:pPr>
          </w:p>
        </w:tc>
        <w:tc>
          <w:tcPr>
            <w:tcW w:w="4418" w:type="dxa"/>
            <w:gridSpan w:val="4"/>
          </w:tcPr>
          <w:p w14:paraId="22C512AA">
            <w:pPr>
              <w:pStyle w:val="6"/>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其他</w:t>
            </w:r>
          </w:p>
        </w:tc>
        <w:tc>
          <w:tcPr>
            <w:tcW w:w="903" w:type="dxa"/>
          </w:tcPr>
          <w:p w14:paraId="794B87D5">
            <w:pPr>
              <w:pStyle w:val="6"/>
              <w:snapToGrid w:val="0"/>
              <w:spacing w:after="0" w:line="240" w:lineRule="auto"/>
              <w:rPr>
                <w:rFonts w:ascii="仿宋" w:hAnsi="仿宋" w:eastAsia="仿宋"/>
                <w:color w:val="auto"/>
                <w:sz w:val="24"/>
                <w:szCs w:val="24"/>
                <w:highlight w:val="none"/>
              </w:rPr>
            </w:pPr>
          </w:p>
        </w:tc>
        <w:tc>
          <w:tcPr>
            <w:tcW w:w="1232" w:type="dxa"/>
          </w:tcPr>
          <w:p w14:paraId="79171287">
            <w:pPr>
              <w:pStyle w:val="6"/>
              <w:snapToGrid w:val="0"/>
              <w:spacing w:after="0" w:line="240" w:lineRule="auto"/>
              <w:rPr>
                <w:rFonts w:ascii="仿宋" w:hAnsi="仿宋" w:eastAsia="仿宋"/>
                <w:color w:val="auto"/>
                <w:sz w:val="24"/>
                <w:szCs w:val="24"/>
                <w:highlight w:val="none"/>
              </w:rPr>
            </w:pPr>
          </w:p>
        </w:tc>
      </w:tr>
      <w:tr w14:paraId="59F60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522" w:type="dxa"/>
            <w:gridSpan w:val="8"/>
          </w:tcPr>
          <w:p w14:paraId="7C7844D9">
            <w:pPr>
              <w:pStyle w:val="6"/>
              <w:snapToGrid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大写：                                           合同价：      元</w:t>
            </w:r>
          </w:p>
        </w:tc>
      </w:tr>
    </w:tbl>
    <w:p w14:paraId="7FCADC33">
      <w:pPr>
        <w:pStyle w:val="25"/>
        <w:spacing w:line="240" w:lineRule="auto"/>
        <w:ind w:firstLine="560" w:firstLineChars="200"/>
        <w:rPr>
          <w:rFonts w:ascii="黑体" w:hAnsi="黑体" w:eastAsia="黑体"/>
          <w:color w:val="auto"/>
          <w:kern w:val="2"/>
          <w:sz w:val="28"/>
          <w:szCs w:val="28"/>
          <w:highlight w:val="none"/>
        </w:rPr>
      </w:pPr>
    </w:p>
    <w:p w14:paraId="43A1D4E3">
      <w:pPr>
        <w:pStyle w:val="25"/>
        <w:spacing w:line="240" w:lineRule="auto"/>
        <w:ind w:firstLine="0"/>
        <w:jc w:val="center"/>
        <w:outlineLvl w:val="0"/>
        <w:rPr>
          <w:b/>
          <w:color w:val="auto"/>
          <w:highlight w:val="none"/>
        </w:rPr>
      </w:pPr>
      <w:r>
        <w:rPr>
          <w:rFonts w:ascii="黑体" w:hAnsi="黑体" w:eastAsia="黑体"/>
          <w:color w:val="auto"/>
          <w:kern w:val="2"/>
          <w:sz w:val="28"/>
          <w:szCs w:val="28"/>
          <w:highlight w:val="none"/>
        </w:rPr>
        <w:br w:type="page"/>
      </w:r>
      <w:r>
        <w:rPr>
          <w:rFonts w:hint="eastAsia" w:ascii="方正小标宋简体" w:eastAsia="方正小标宋简体"/>
          <w:bCs/>
          <w:color w:val="auto"/>
          <w:sz w:val="32"/>
          <w:szCs w:val="32"/>
          <w:highlight w:val="none"/>
        </w:rPr>
        <w:t>第5章 评审标准和方法</w:t>
      </w:r>
      <w:bookmarkEnd w:id="69"/>
    </w:p>
    <w:p w14:paraId="355366C0">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 评审方法为综合评分法，即磋商响应文件能够最大限度的满足磋商文件规定的各项综合评价标准且经评审得分最高的供应商为成交候选人的评标方法。</w:t>
      </w:r>
    </w:p>
    <w:p w14:paraId="5BF3931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p>
    <w:p w14:paraId="28E50029">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2. 评审因素：价格、技术、商务、财务状况、信誉、业绩、服务、对磋商文件的响应程度，以及相应的比重或者权值等。</w:t>
      </w:r>
    </w:p>
    <w:p w14:paraId="4F470A3B">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3. 价格分采用低价优先法计算，即满足磋商文件要求且最后报价中最低报价为评审基准价，其价格分为满分。其他响应供应商的价格分统一按照下列公式计算：</w:t>
      </w:r>
    </w:p>
    <w:p w14:paraId="240196BB">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最后报价得分=(评审基准价／最后报价)×价格分分值</w:t>
      </w:r>
    </w:p>
    <w:p w14:paraId="25F2EA4B">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磋商过程中，不得去掉报价中的最高报价和最低报价。因落实政府采购政策进行价格调整的，以调整后的价格计算评审基准价和最后报价。</w:t>
      </w:r>
    </w:p>
    <w:p w14:paraId="0C51A2CF">
      <w:pPr>
        <w:ind w:firstLine="560" w:firstLineChars="200"/>
        <w:outlineLvl w:val="9"/>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4. </w:t>
      </w:r>
      <w:r>
        <w:rPr>
          <w:rFonts w:hint="eastAsia" w:ascii="仿宋" w:hAnsi="仿宋" w:eastAsia="仿宋"/>
          <w:color w:val="auto"/>
          <w:sz w:val="28"/>
          <w:szCs w:val="28"/>
          <w:highlight w:val="none"/>
          <w:lang w:val="en-US" w:eastAsia="zh-CN"/>
        </w:rPr>
        <w:t>评分标</w:t>
      </w:r>
    </w:p>
    <w:tbl>
      <w:tblPr>
        <w:tblStyle w:val="16"/>
        <w:tblW w:w="957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92"/>
        <w:gridCol w:w="1293"/>
        <w:gridCol w:w="1050"/>
        <w:gridCol w:w="5756"/>
        <w:gridCol w:w="779"/>
      </w:tblGrid>
      <w:tr w14:paraId="5390DD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vAlign w:val="center"/>
          </w:tcPr>
          <w:p w14:paraId="6231B7EC">
            <w:pPr>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293" w:type="dxa"/>
            <w:vAlign w:val="center"/>
          </w:tcPr>
          <w:p w14:paraId="0CB09DBC">
            <w:pPr>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评审因素</w:t>
            </w:r>
          </w:p>
        </w:tc>
        <w:tc>
          <w:tcPr>
            <w:tcW w:w="1050" w:type="dxa"/>
            <w:vAlign w:val="center"/>
          </w:tcPr>
          <w:p w14:paraId="38501057">
            <w:pPr>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分值</w:t>
            </w:r>
          </w:p>
        </w:tc>
        <w:tc>
          <w:tcPr>
            <w:tcW w:w="5756" w:type="dxa"/>
            <w:vAlign w:val="center"/>
          </w:tcPr>
          <w:p w14:paraId="31CBA634">
            <w:pPr>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评审要求或标准</w:t>
            </w:r>
          </w:p>
        </w:tc>
        <w:tc>
          <w:tcPr>
            <w:tcW w:w="779" w:type="dxa"/>
            <w:vAlign w:val="center"/>
          </w:tcPr>
          <w:p w14:paraId="7B714397">
            <w:pPr>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得分</w:t>
            </w:r>
          </w:p>
        </w:tc>
      </w:tr>
      <w:tr w14:paraId="1D292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9" w:hRule="atLeast"/>
        </w:trPr>
        <w:tc>
          <w:tcPr>
            <w:tcW w:w="692" w:type="dxa"/>
            <w:vAlign w:val="center"/>
          </w:tcPr>
          <w:p w14:paraId="70043034">
            <w:pPr>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293" w:type="dxa"/>
            <w:shd w:val="clear" w:color="auto" w:fill="auto"/>
            <w:vAlign w:val="center"/>
          </w:tcPr>
          <w:p w14:paraId="3F90A006">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lang w:val="en-US" w:eastAsia="zh-CN" w:bidi="ar"/>
              </w:rPr>
              <w:t>管理制度</w:t>
            </w:r>
          </w:p>
        </w:tc>
        <w:tc>
          <w:tcPr>
            <w:tcW w:w="1050" w:type="dxa"/>
            <w:shd w:val="clear" w:color="auto" w:fill="auto"/>
            <w:vAlign w:val="center"/>
          </w:tcPr>
          <w:p w14:paraId="7F8C9296">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lang w:val="en-US" w:eastAsia="zh-CN" w:bidi="ar"/>
              </w:rPr>
              <w:t>5</w:t>
            </w:r>
          </w:p>
        </w:tc>
        <w:tc>
          <w:tcPr>
            <w:tcW w:w="5756" w:type="dxa"/>
            <w:shd w:val="clear" w:color="auto" w:fill="auto"/>
            <w:vAlign w:val="center"/>
          </w:tcPr>
          <w:p w14:paraId="25A90AB0">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响应供应商需根据项目需求，提供相关的管理制度，内容包括但不限于：</w:t>
            </w:r>
          </w:p>
          <w:p w14:paraId="377FF7B2">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jc w:val="both"/>
              <w:textAlignment w:val="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（1）管理组织架构；</w:t>
            </w:r>
          </w:p>
          <w:p w14:paraId="1CD29F2D">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jc w:val="both"/>
              <w:textAlignment w:val="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（2）员工</w:t>
            </w:r>
            <w:r>
              <w:rPr>
                <w:rFonts w:hint="eastAsia" w:ascii="仿宋" w:hAnsi="仿宋" w:eastAsia="仿宋" w:cs="仿宋"/>
                <w:color w:val="auto"/>
                <w:kern w:val="2"/>
                <w:sz w:val="24"/>
                <w:szCs w:val="24"/>
                <w:highlight w:val="none"/>
                <w:lang w:val="en-US" w:eastAsia="zh-CN" w:bidi="ar"/>
              </w:rPr>
              <w:t>录用、考核和淘汰制度</w:t>
            </w:r>
            <w:r>
              <w:rPr>
                <w:rFonts w:hint="eastAsia" w:ascii="仿宋" w:hAnsi="仿宋" w:eastAsia="仿宋" w:cs="仿宋"/>
                <w:color w:val="auto"/>
                <w:sz w:val="24"/>
                <w:szCs w:val="24"/>
                <w:highlight w:val="none"/>
                <w:lang w:val="en-US" w:eastAsia="zh-CN" w:bidi="ar"/>
              </w:rPr>
              <w:t>；</w:t>
            </w:r>
          </w:p>
          <w:p w14:paraId="09EB8C0B">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jc w:val="both"/>
              <w:textAlignment w:val="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（3）教育培训制度；</w:t>
            </w:r>
          </w:p>
          <w:p w14:paraId="1389D24D">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jc w:val="both"/>
              <w:textAlignment w:val="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（4）</w:t>
            </w:r>
            <w:r>
              <w:rPr>
                <w:rFonts w:hint="eastAsia" w:ascii="仿宋" w:hAnsi="仿宋" w:eastAsia="仿宋" w:cs="仿宋"/>
                <w:color w:val="auto"/>
                <w:sz w:val="24"/>
                <w:szCs w:val="24"/>
                <w:highlight w:val="none"/>
                <w:lang w:val="en-US" w:eastAsia="zh-CN"/>
              </w:rPr>
              <w:t>有限空间作业</w:t>
            </w:r>
            <w:r>
              <w:rPr>
                <w:rFonts w:hint="eastAsia" w:ascii="仿宋" w:hAnsi="仿宋" w:eastAsia="仿宋" w:cs="仿宋"/>
                <w:color w:val="auto"/>
                <w:sz w:val="24"/>
                <w:szCs w:val="24"/>
                <w:highlight w:val="none"/>
              </w:rPr>
              <w:t>管理制度</w:t>
            </w:r>
            <w:r>
              <w:rPr>
                <w:rFonts w:hint="eastAsia" w:ascii="仿宋" w:hAnsi="仿宋" w:eastAsia="仿宋" w:cs="仿宋"/>
                <w:color w:val="auto"/>
                <w:sz w:val="24"/>
                <w:szCs w:val="24"/>
                <w:highlight w:val="none"/>
                <w:lang w:val="en-US" w:eastAsia="zh-CN" w:bidi="ar"/>
              </w:rPr>
              <w:t>；</w:t>
            </w:r>
          </w:p>
          <w:p w14:paraId="5D5E2433">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（5）</w:t>
            </w:r>
            <w:r>
              <w:rPr>
                <w:rFonts w:hint="eastAsia" w:ascii="仿宋" w:hAnsi="仿宋" w:eastAsia="仿宋" w:cs="仿宋"/>
                <w:color w:val="auto"/>
                <w:sz w:val="24"/>
                <w:szCs w:val="24"/>
                <w:highlight w:val="none"/>
                <w:lang w:val="en-US" w:eastAsia="zh-CN"/>
              </w:rPr>
              <w:t>垃圾转运管理制度</w:t>
            </w:r>
            <w:r>
              <w:rPr>
                <w:rFonts w:hint="eastAsia" w:ascii="仿宋" w:hAnsi="仿宋" w:eastAsia="仿宋" w:cs="仿宋"/>
                <w:color w:val="auto"/>
                <w:sz w:val="24"/>
                <w:szCs w:val="24"/>
                <w:highlight w:val="none"/>
                <w:lang w:val="en-US" w:eastAsia="zh-CN" w:bidi="ar"/>
              </w:rPr>
              <w:t>等。</w:t>
            </w:r>
          </w:p>
          <w:p w14:paraId="77E58591">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482"/>
              <w:jc w:val="both"/>
              <w:textAlignment w:val="auto"/>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响应供应商对上述5方面展开详细的阐述，内容能够适用于本项目实际，内容中每缺少一项内容扣1分，每有一处需求分析内容存在缺陷或不足的扣0.5分，扣完为止。（本项最多得5分）</w:t>
            </w:r>
          </w:p>
          <w:p w14:paraId="03BD2098">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482"/>
              <w:jc w:val="both"/>
              <w:textAlignment w:val="auto"/>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注：制度内容存在缺陷或不足是指以下任意一种情形：</w:t>
            </w:r>
          </w:p>
          <w:p w14:paraId="6C159BAD">
            <w:pPr>
              <w:keepNext w:val="0"/>
              <w:keepLines w:val="0"/>
              <w:pageBreakBefore w:val="0"/>
              <w:shd w:val="clear"/>
              <w:kinsoku/>
              <w:wordWrap/>
              <w:overflowPunct/>
              <w:topLinePunct w:val="0"/>
              <w:autoSpaceDE/>
              <w:autoSpaceDN/>
              <w:bidi w:val="0"/>
              <w:spacing w:line="300" w:lineRule="exact"/>
              <w:ind w:firstLine="482" w:firstLineChars="200"/>
              <w:textAlignment w:val="auto"/>
              <w:rPr>
                <w:rFonts w:hint="eastAsia" w:ascii="仿宋" w:hAnsi="仿宋" w:eastAsia="仿宋" w:cs="仿宋"/>
                <w:b/>
                <w:bCs/>
                <w:color w:val="auto"/>
                <w:kern w:val="2"/>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方案内容不切合行业实际、不符合国家法规政策；或方案内容生搬硬套，与实际情况不符，存在偏差；或方案内容过于简略；或存在与项目无关的文字内容；或内容不适用项目实际情况；或内容逻辑漏洞或原理错误。</w:t>
            </w:r>
          </w:p>
        </w:tc>
        <w:tc>
          <w:tcPr>
            <w:tcW w:w="779" w:type="dxa"/>
          </w:tcPr>
          <w:p w14:paraId="581D4697">
            <w:pPr>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ascii="仿宋" w:hAnsi="仿宋" w:eastAsia="仿宋" w:cs="仿宋"/>
                <w:color w:val="auto"/>
                <w:sz w:val="24"/>
                <w:szCs w:val="24"/>
                <w:highlight w:val="none"/>
              </w:rPr>
            </w:pPr>
          </w:p>
        </w:tc>
      </w:tr>
      <w:tr w14:paraId="33DD20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vAlign w:val="center"/>
          </w:tcPr>
          <w:p w14:paraId="5B6769E5">
            <w:pPr>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293" w:type="dxa"/>
            <w:shd w:val="clear" w:color="auto" w:fill="auto"/>
            <w:vAlign w:val="center"/>
          </w:tcPr>
          <w:p w14:paraId="2CC8ADEC">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lang w:val="en-US" w:eastAsia="zh-CN" w:bidi="ar"/>
              </w:rPr>
              <w:t>服务方案</w:t>
            </w:r>
          </w:p>
        </w:tc>
        <w:tc>
          <w:tcPr>
            <w:tcW w:w="1050" w:type="dxa"/>
            <w:shd w:val="clear" w:color="auto" w:fill="auto"/>
            <w:vAlign w:val="center"/>
          </w:tcPr>
          <w:p w14:paraId="74B9CDBB">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lang w:val="en-US" w:eastAsia="zh-CN" w:bidi="ar"/>
              </w:rPr>
              <w:t>7</w:t>
            </w:r>
          </w:p>
        </w:tc>
        <w:tc>
          <w:tcPr>
            <w:tcW w:w="5756" w:type="dxa"/>
            <w:shd w:val="clear" w:color="auto" w:fill="auto"/>
            <w:vAlign w:val="center"/>
          </w:tcPr>
          <w:p w14:paraId="706BE057">
            <w:pPr>
              <w:keepNext w:val="0"/>
              <w:keepLines w:val="0"/>
              <w:pageBreakBefore w:val="0"/>
              <w:kinsoku/>
              <w:wordWrap/>
              <w:overflowPunct/>
              <w:topLinePunct w:val="0"/>
              <w:autoSpaceDE/>
              <w:autoSpaceDN/>
              <w:bidi w:val="0"/>
              <w:spacing w:line="3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响应供应商</w:t>
            </w:r>
            <w:r>
              <w:rPr>
                <w:rFonts w:hint="eastAsia" w:ascii="仿宋" w:hAnsi="仿宋" w:eastAsia="仿宋" w:cs="仿宋"/>
                <w:color w:val="auto"/>
                <w:sz w:val="24"/>
                <w:szCs w:val="24"/>
                <w:highlight w:val="none"/>
                <w:lang w:val="en-US" w:eastAsia="zh-CN"/>
              </w:rPr>
              <w:t>需根据项目需求，提供相关的服务方案，内容包括但不限于：</w:t>
            </w:r>
          </w:p>
          <w:p w14:paraId="030938EE">
            <w:pPr>
              <w:keepNext w:val="0"/>
              <w:keepLines w:val="0"/>
              <w:pageBreakBefore w:val="0"/>
              <w:kinsoku/>
              <w:wordWrap/>
              <w:overflowPunct/>
              <w:topLinePunct w:val="0"/>
              <w:autoSpaceDE/>
              <w:autoSpaceDN/>
              <w:bidi w:val="0"/>
              <w:spacing w:line="30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（1）本项目进退场交接方案及措施；</w:t>
            </w:r>
          </w:p>
          <w:p w14:paraId="7761A9F2">
            <w:pPr>
              <w:keepNext w:val="0"/>
              <w:keepLines w:val="0"/>
              <w:pageBreakBefore w:val="0"/>
              <w:kinsoku/>
              <w:wordWrap/>
              <w:overflowPunct/>
              <w:topLinePunct w:val="0"/>
              <w:autoSpaceDE/>
              <w:autoSpaceDN/>
              <w:bidi w:val="0"/>
              <w:spacing w:line="30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（2）针对本项目的服务特点、难点进行情况分析，并提出解决措施；</w:t>
            </w:r>
          </w:p>
          <w:p w14:paraId="65168433">
            <w:pPr>
              <w:keepNext w:val="0"/>
              <w:keepLines w:val="0"/>
              <w:pageBreakBefore w:val="0"/>
              <w:kinsoku/>
              <w:wordWrap/>
              <w:overflowPunct/>
              <w:topLinePunct w:val="0"/>
              <w:autoSpaceDE/>
              <w:autoSpaceDN/>
              <w:bidi w:val="0"/>
              <w:spacing w:line="30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（3）针对本项目的垃圾转运作业组织方案；</w:t>
            </w:r>
          </w:p>
          <w:p w14:paraId="72F99A1A">
            <w:pPr>
              <w:keepNext w:val="0"/>
              <w:keepLines w:val="0"/>
              <w:pageBreakBefore w:val="0"/>
              <w:kinsoku/>
              <w:wordWrap/>
              <w:overflowPunct/>
              <w:topLinePunct w:val="0"/>
              <w:autoSpaceDE/>
              <w:autoSpaceDN/>
              <w:bidi w:val="0"/>
              <w:spacing w:line="30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（4）本项目作业车辆、作业人员的智慧管理方案；</w:t>
            </w:r>
          </w:p>
          <w:p w14:paraId="22C81169">
            <w:pPr>
              <w:keepNext w:val="0"/>
              <w:keepLines w:val="0"/>
              <w:pageBreakBefore w:val="0"/>
              <w:kinsoku/>
              <w:wordWrap/>
              <w:overflowPunct/>
              <w:topLinePunct w:val="0"/>
              <w:autoSpaceDE/>
              <w:autoSpaceDN/>
              <w:bidi w:val="0"/>
              <w:spacing w:line="30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（5）提供本项目办公场所、作业人员配备、作业车辆及设备投入、作业时间安排及车辆停放方案；</w:t>
            </w:r>
          </w:p>
          <w:p w14:paraId="70EACBF0">
            <w:pPr>
              <w:pStyle w:val="26"/>
              <w:keepNext w:val="0"/>
              <w:keepLines w:val="0"/>
              <w:pageBreakBefore w:val="0"/>
              <w:kinsoku/>
              <w:wordWrap/>
              <w:overflowPunct/>
              <w:topLinePunct w:val="0"/>
              <w:autoSpaceDE/>
              <w:autoSpaceDN/>
              <w:bidi w:val="0"/>
              <w:spacing w:line="300" w:lineRule="exact"/>
              <w:ind w:left="0" w:leftChars="0" w:firstLine="0" w:firstLineChars="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（6）针对本项目的垃圾站运维管理</w:t>
            </w:r>
            <w:r>
              <w:rPr>
                <w:rFonts w:hint="eastAsia" w:ascii="仿宋" w:hAnsi="仿宋" w:eastAsia="仿宋" w:cs="仿宋"/>
                <w:color w:val="auto"/>
                <w:sz w:val="24"/>
                <w:szCs w:val="24"/>
                <w:highlight w:val="none"/>
                <w:lang w:eastAsia="zh-CN"/>
              </w:rPr>
              <w:t>；</w:t>
            </w:r>
          </w:p>
          <w:p w14:paraId="1DBF5651">
            <w:pPr>
              <w:keepNext w:val="0"/>
              <w:keepLines w:val="0"/>
              <w:pageBreakBefore w:val="0"/>
              <w:kinsoku/>
              <w:wordWrap/>
              <w:overflowPunct/>
              <w:topLinePunct w:val="0"/>
              <w:autoSpaceDE/>
              <w:autoSpaceDN/>
              <w:bidi w:val="0"/>
              <w:spacing w:line="300" w:lineRule="exact"/>
              <w:textAlignment w:val="auto"/>
              <w:rPr>
                <w:rFonts w:hint="eastAsia"/>
                <w:color w:val="auto"/>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针对本项目的垃圾渗漏液处置方案。</w:t>
            </w:r>
          </w:p>
          <w:p w14:paraId="20C85F65">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482"/>
              <w:jc w:val="both"/>
              <w:textAlignment w:val="auto"/>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上述7方面展开详细的阐述，内容能够适用于本项目实际，内容中每缺少一项内容扣1分，每有一处需求分析内容存在缺陷或不足的扣0.5分，扣完为止。（本项最多得7分）</w:t>
            </w:r>
          </w:p>
          <w:p w14:paraId="053DC414">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482"/>
              <w:jc w:val="both"/>
              <w:textAlignment w:val="auto"/>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注：方案内容存在缺陷或不足是指以下任意一种情形：</w:t>
            </w:r>
          </w:p>
          <w:p w14:paraId="534B170F">
            <w:pPr>
              <w:keepNext w:val="0"/>
              <w:keepLines w:val="0"/>
              <w:pageBreakBefore w:val="0"/>
              <w:kinsoku/>
              <w:wordWrap/>
              <w:overflowPunct/>
              <w:topLinePunct w:val="0"/>
              <w:autoSpaceDE/>
              <w:autoSpaceDN/>
              <w:bidi w:val="0"/>
              <w:spacing w:line="300" w:lineRule="exact"/>
              <w:ind w:firstLine="482"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
              </w:rPr>
              <w:t>方案内容不切合行业实际、不符合国家法规政策；或方案内容生搬硬套，与实际情况不符，存在偏差；或方案内容过于简略；或存在与项目无关的文字内容；或内容不适用项目实际情况；或内容逻辑漏洞或原理错误。</w:t>
            </w:r>
          </w:p>
        </w:tc>
        <w:tc>
          <w:tcPr>
            <w:tcW w:w="779" w:type="dxa"/>
          </w:tcPr>
          <w:p w14:paraId="11F9661B">
            <w:pPr>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ascii="仿宋" w:hAnsi="仿宋" w:eastAsia="仿宋" w:cs="仿宋"/>
                <w:color w:val="auto"/>
                <w:sz w:val="24"/>
                <w:szCs w:val="24"/>
                <w:highlight w:val="none"/>
              </w:rPr>
            </w:pPr>
          </w:p>
        </w:tc>
      </w:tr>
      <w:tr w14:paraId="67A12A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vAlign w:val="center"/>
          </w:tcPr>
          <w:p w14:paraId="5C967B0E">
            <w:pPr>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293" w:type="dxa"/>
            <w:shd w:val="clear" w:color="auto" w:fill="auto"/>
            <w:vAlign w:val="center"/>
          </w:tcPr>
          <w:p w14:paraId="395EDD74">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lang w:val="en-US" w:eastAsia="zh-CN" w:bidi="ar"/>
              </w:rPr>
              <w:t>应急预案</w:t>
            </w:r>
          </w:p>
        </w:tc>
        <w:tc>
          <w:tcPr>
            <w:tcW w:w="1050" w:type="dxa"/>
            <w:shd w:val="clear" w:color="auto" w:fill="auto"/>
            <w:vAlign w:val="center"/>
          </w:tcPr>
          <w:p w14:paraId="32FAAD91">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lang w:val="en-US" w:eastAsia="zh-CN" w:bidi="ar"/>
              </w:rPr>
              <w:t>6</w:t>
            </w:r>
          </w:p>
        </w:tc>
        <w:tc>
          <w:tcPr>
            <w:tcW w:w="5756" w:type="dxa"/>
            <w:shd w:val="clear" w:color="auto" w:fill="auto"/>
            <w:vAlign w:val="center"/>
          </w:tcPr>
          <w:p w14:paraId="107054A8">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480" w:firstLineChars="200"/>
              <w:jc w:val="left"/>
              <w:textAlignment w:val="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响应供应商需根据项目需求，提供针对本项目的相关的应急方案，内容包括但不限于：</w:t>
            </w:r>
          </w:p>
          <w:p w14:paraId="4F1DE1D8">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jc w:val="left"/>
              <w:textAlignment w:val="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（1）重大检查调研参观活动应急预案；</w:t>
            </w:r>
          </w:p>
          <w:p w14:paraId="6140D221">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jc w:val="left"/>
              <w:textAlignment w:val="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（2）重要节日等应急保障方案；</w:t>
            </w:r>
          </w:p>
          <w:p w14:paraId="3775A5E8">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jc w:val="left"/>
              <w:textAlignment w:val="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（3）恶劣天气（台风、暴雨、暴雪等）预警应急保障方案；</w:t>
            </w:r>
          </w:p>
          <w:p w14:paraId="040E9246">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jc w:val="left"/>
              <w:textAlignment w:val="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（4）重大交通事故或重大安全事故处理应急预案；</w:t>
            </w:r>
          </w:p>
          <w:p w14:paraId="5A91BD8F">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jc w:val="left"/>
              <w:textAlignment w:val="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（5）临时大量生活垃圾处置应急预案等；</w:t>
            </w:r>
          </w:p>
          <w:p w14:paraId="7183341E">
            <w:pPr>
              <w:pStyle w:val="26"/>
              <w:keepNext w:val="0"/>
              <w:keepLines w:val="0"/>
              <w:pageBreakBefore w:val="0"/>
              <w:kinsoku/>
              <w:wordWrap/>
              <w:overflowPunct/>
              <w:topLinePunct w:val="0"/>
              <w:autoSpaceDE/>
              <w:autoSpaceDN/>
              <w:bidi w:val="0"/>
              <w:spacing w:line="300" w:lineRule="exact"/>
              <w:ind w:left="0" w:leftChars="0"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
              </w:rPr>
              <w:t>（6）垃圾渗漏液应急处置预案。</w:t>
            </w:r>
          </w:p>
          <w:p w14:paraId="376C14CB">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482"/>
              <w:jc w:val="left"/>
              <w:textAlignment w:val="auto"/>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上述6方面展开详细的阐述，内容能够适用于本项目实际，内容中每缺少一项内容扣1分，每有一处需求分析内容存在缺陷或不足的扣0.5分，扣完为止。（本项最多得6分）</w:t>
            </w:r>
          </w:p>
          <w:p w14:paraId="344993EA">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482"/>
              <w:jc w:val="left"/>
              <w:textAlignment w:val="auto"/>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注：实施方案内容存在缺陷或不足是指以下任意一种情形：</w:t>
            </w:r>
          </w:p>
          <w:p w14:paraId="01045175">
            <w:pPr>
              <w:keepNext w:val="0"/>
              <w:keepLines w:val="0"/>
              <w:pageBreakBefore w:val="0"/>
              <w:kinsoku/>
              <w:wordWrap/>
              <w:overflowPunct/>
              <w:topLinePunct w:val="0"/>
              <w:autoSpaceDE/>
              <w:autoSpaceDN/>
              <w:bidi w:val="0"/>
              <w:spacing w:line="300" w:lineRule="exact"/>
              <w:ind w:firstLine="482" w:firstLineChars="200"/>
              <w:textAlignment w:val="auto"/>
              <w:rPr>
                <w:rFonts w:hint="eastAsia" w:ascii="仿宋" w:hAnsi="仿宋" w:eastAsia="仿宋" w:cs="仿宋"/>
                <w:b/>
                <w:bCs/>
                <w:color w:val="auto"/>
                <w:kern w:val="2"/>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方案内容不切合行业实际、不符合国家法规政策；或方案内容生搬硬套，与实际情况不符，存在偏差；或方案内容过于简略；或存在与项目无关的文字内容；或内容不适用项目实际情况；或内容逻辑漏洞或原理错误。</w:t>
            </w:r>
          </w:p>
        </w:tc>
        <w:tc>
          <w:tcPr>
            <w:tcW w:w="779" w:type="dxa"/>
          </w:tcPr>
          <w:p w14:paraId="05E28E89">
            <w:pPr>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ascii="仿宋" w:hAnsi="仿宋" w:eastAsia="仿宋" w:cs="仿宋"/>
                <w:color w:val="auto"/>
                <w:sz w:val="24"/>
                <w:szCs w:val="24"/>
                <w:highlight w:val="none"/>
              </w:rPr>
            </w:pPr>
          </w:p>
        </w:tc>
      </w:tr>
      <w:tr w14:paraId="6A6A5D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shd w:val="clear" w:color="auto" w:fill="auto"/>
            <w:vAlign w:val="center"/>
          </w:tcPr>
          <w:p w14:paraId="590ECA26">
            <w:pPr>
              <w:keepNext w:val="0"/>
              <w:keepLines w:val="0"/>
              <w:pageBreakBefore w:val="0"/>
              <w:kinsoku/>
              <w:wordWrap/>
              <w:overflowPunct/>
              <w:topLinePunct w:val="0"/>
              <w:autoSpaceDE/>
              <w:autoSpaceDN/>
              <w:bidi w:val="0"/>
              <w:spacing w:line="3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4</w:t>
            </w:r>
          </w:p>
        </w:tc>
        <w:tc>
          <w:tcPr>
            <w:tcW w:w="1293" w:type="dxa"/>
            <w:shd w:val="clear" w:color="auto" w:fill="auto"/>
            <w:vAlign w:val="center"/>
          </w:tcPr>
          <w:p w14:paraId="59005938">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lang w:val="en-US" w:eastAsia="zh-CN" w:bidi="ar"/>
              </w:rPr>
              <w:t>安全作业保障</w:t>
            </w:r>
          </w:p>
        </w:tc>
        <w:tc>
          <w:tcPr>
            <w:tcW w:w="1050" w:type="dxa"/>
            <w:shd w:val="clear" w:color="auto" w:fill="auto"/>
            <w:vAlign w:val="center"/>
          </w:tcPr>
          <w:p w14:paraId="31957F4E">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lang w:val="en-US" w:eastAsia="zh-CN" w:bidi="ar"/>
              </w:rPr>
              <w:t>4</w:t>
            </w:r>
          </w:p>
        </w:tc>
        <w:tc>
          <w:tcPr>
            <w:tcW w:w="5756" w:type="dxa"/>
            <w:shd w:val="clear" w:color="auto" w:fill="auto"/>
            <w:vAlign w:val="center"/>
          </w:tcPr>
          <w:p w14:paraId="41EBF91F">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480" w:firstLineChars="200"/>
              <w:jc w:val="left"/>
              <w:textAlignment w:val="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响应供应商需根据项目需求，提供针对本项目的安全文明作业保障方案，包括但不限于：</w:t>
            </w:r>
          </w:p>
          <w:p w14:paraId="78774999">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jc w:val="left"/>
              <w:textAlignment w:val="auto"/>
              <w:rPr>
                <w:rFonts w:hint="eastAsia" w:ascii="仿宋" w:hAnsi="仿宋" w:eastAsia="仿宋" w:cs="仿宋"/>
                <w:color w:val="auto"/>
                <w:sz w:val="24"/>
                <w:szCs w:val="24"/>
                <w:highlight w:val="none"/>
                <w:lang w:eastAsia="zh-CN" w:bidi="ar"/>
              </w:rPr>
            </w:pPr>
            <w:r>
              <w:rPr>
                <w:rFonts w:hint="eastAsia" w:ascii="仿宋" w:hAnsi="仿宋" w:eastAsia="仿宋" w:cs="仿宋"/>
                <w:color w:val="auto"/>
                <w:sz w:val="24"/>
                <w:szCs w:val="24"/>
                <w:highlight w:val="none"/>
                <w:lang w:val="en-US" w:eastAsia="zh-CN" w:bidi="ar"/>
              </w:rPr>
              <w:t>（1）安全管理制度</w:t>
            </w:r>
            <w:r>
              <w:rPr>
                <w:rFonts w:hint="eastAsia" w:ascii="仿宋" w:hAnsi="仿宋" w:eastAsia="仿宋" w:cs="仿宋"/>
                <w:color w:val="auto"/>
                <w:sz w:val="24"/>
                <w:szCs w:val="24"/>
                <w:highlight w:val="none"/>
                <w:lang w:eastAsia="zh-CN" w:bidi="ar"/>
              </w:rPr>
              <w:t>；</w:t>
            </w:r>
          </w:p>
          <w:p w14:paraId="5E9E19E7">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jc w:val="left"/>
              <w:textAlignment w:val="auto"/>
              <w:rPr>
                <w:rFonts w:hint="eastAsia" w:ascii="仿宋" w:hAnsi="仿宋" w:eastAsia="仿宋" w:cs="仿宋"/>
                <w:color w:val="auto"/>
                <w:sz w:val="24"/>
                <w:szCs w:val="24"/>
                <w:highlight w:val="none"/>
                <w:lang w:eastAsia="zh-CN" w:bidi="ar"/>
              </w:rPr>
            </w:pPr>
            <w:r>
              <w:rPr>
                <w:rFonts w:hint="eastAsia" w:ascii="仿宋" w:hAnsi="仿宋" w:eastAsia="仿宋" w:cs="仿宋"/>
                <w:color w:val="auto"/>
                <w:sz w:val="24"/>
                <w:szCs w:val="24"/>
                <w:highlight w:val="none"/>
                <w:lang w:eastAsia="zh-CN" w:bidi="ar"/>
              </w:rPr>
              <w:t>（2）</w:t>
            </w:r>
            <w:r>
              <w:rPr>
                <w:rFonts w:hint="eastAsia" w:ascii="仿宋" w:hAnsi="仿宋" w:eastAsia="仿宋" w:cs="仿宋"/>
                <w:color w:val="auto"/>
                <w:sz w:val="24"/>
                <w:szCs w:val="24"/>
                <w:highlight w:val="none"/>
                <w:lang w:val="en-US" w:eastAsia="zh-CN" w:bidi="ar"/>
              </w:rPr>
              <w:t>安全生产管理预案</w:t>
            </w:r>
            <w:r>
              <w:rPr>
                <w:rFonts w:hint="eastAsia" w:ascii="仿宋" w:hAnsi="仿宋" w:eastAsia="仿宋" w:cs="仿宋"/>
                <w:color w:val="auto"/>
                <w:sz w:val="24"/>
                <w:szCs w:val="24"/>
                <w:highlight w:val="none"/>
                <w:lang w:eastAsia="zh-CN" w:bidi="ar"/>
              </w:rPr>
              <w:t>；</w:t>
            </w:r>
          </w:p>
          <w:p w14:paraId="7D70F563">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jc w:val="left"/>
              <w:textAlignment w:val="auto"/>
              <w:rPr>
                <w:rFonts w:hint="eastAsia" w:ascii="仿宋" w:hAnsi="仿宋" w:eastAsia="仿宋" w:cs="仿宋"/>
                <w:color w:val="auto"/>
                <w:sz w:val="24"/>
                <w:szCs w:val="24"/>
                <w:highlight w:val="none"/>
                <w:lang w:eastAsia="zh-CN" w:bidi="ar"/>
              </w:rPr>
            </w:pPr>
            <w:r>
              <w:rPr>
                <w:rFonts w:hint="eastAsia" w:ascii="仿宋" w:hAnsi="仿宋" w:eastAsia="仿宋" w:cs="仿宋"/>
                <w:color w:val="auto"/>
                <w:sz w:val="24"/>
                <w:szCs w:val="24"/>
                <w:highlight w:val="none"/>
                <w:lang w:eastAsia="zh-CN" w:bidi="ar"/>
              </w:rPr>
              <w:t>（3）</w:t>
            </w:r>
            <w:r>
              <w:rPr>
                <w:rFonts w:hint="eastAsia" w:ascii="仿宋" w:hAnsi="仿宋" w:eastAsia="仿宋" w:cs="仿宋"/>
                <w:color w:val="auto"/>
                <w:sz w:val="24"/>
                <w:szCs w:val="24"/>
                <w:highlight w:val="none"/>
                <w:lang w:val="en-US" w:eastAsia="zh-CN" w:bidi="ar"/>
              </w:rPr>
              <w:t>安全人员及设施配备</w:t>
            </w:r>
            <w:r>
              <w:rPr>
                <w:rFonts w:hint="eastAsia" w:ascii="仿宋" w:hAnsi="仿宋" w:eastAsia="仿宋" w:cs="仿宋"/>
                <w:color w:val="auto"/>
                <w:sz w:val="24"/>
                <w:szCs w:val="24"/>
                <w:highlight w:val="none"/>
                <w:lang w:eastAsia="zh-CN" w:bidi="ar"/>
              </w:rPr>
              <w:t>；</w:t>
            </w:r>
          </w:p>
          <w:p w14:paraId="5316D996">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jc w:val="left"/>
              <w:textAlignment w:val="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eastAsia="zh-CN" w:bidi="no"/>
              </w:rPr>
              <w:t>（4）</w:t>
            </w:r>
            <w:r>
              <w:rPr>
                <w:rFonts w:hint="eastAsia" w:ascii="仿宋" w:hAnsi="仿宋" w:eastAsia="仿宋" w:cs="仿宋"/>
                <w:color w:val="auto"/>
                <w:sz w:val="24"/>
                <w:szCs w:val="24"/>
                <w:highlight w:val="none"/>
                <w:lang w:val="en-US" w:eastAsia="zh-CN" w:bidi="ar"/>
              </w:rPr>
              <w:t>安全文明保障措施等。</w:t>
            </w:r>
          </w:p>
          <w:p w14:paraId="27427083">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482"/>
              <w:jc w:val="left"/>
              <w:textAlignment w:val="auto"/>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上述4方面展开详细的阐述，内容能够适用于本项目实际，内容中每缺少一项内容扣1分，每有一处需求分析内容存在缺陷或不足的扣0.5分，扣完为止。（本项最多得4分）</w:t>
            </w:r>
          </w:p>
          <w:p w14:paraId="7A6B78C6">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482"/>
              <w:jc w:val="left"/>
              <w:textAlignment w:val="auto"/>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注：实施方案内容存在缺陷或不足是指以下任意一种情形：</w:t>
            </w:r>
          </w:p>
          <w:p w14:paraId="71E075B3">
            <w:pPr>
              <w:keepNext w:val="0"/>
              <w:keepLines w:val="0"/>
              <w:pageBreakBefore w:val="0"/>
              <w:kinsoku/>
              <w:wordWrap/>
              <w:overflowPunct/>
              <w:topLinePunct w:val="0"/>
              <w:autoSpaceDE/>
              <w:autoSpaceDN/>
              <w:bidi w:val="0"/>
              <w:spacing w:line="300" w:lineRule="exact"/>
              <w:ind w:firstLine="482" w:firstLineChars="200"/>
              <w:textAlignment w:val="auto"/>
              <w:rPr>
                <w:rFonts w:hint="eastAsia" w:ascii="仿宋" w:hAnsi="仿宋" w:eastAsia="仿宋" w:cs="仿宋"/>
                <w:b/>
                <w:bCs/>
                <w:color w:val="auto"/>
                <w:kern w:val="2"/>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方案内容不切合行业实际、不符合国家法规政策；或方案内容生搬硬套，与实际情况不符，存在偏差；或方案内容过于简略；或存在与项目无关的文字内容；或内容不适用项目实际情况；或内容逻辑漏洞或原理错误。</w:t>
            </w:r>
          </w:p>
        </w:tc>
        <w:tc>
          <w:tcPr>
            <w:tcW w:w="779" w:type="dxa"/>
          </w:tcPr>
          <w:p w14:paraId="0B071FF6">
            <w:pPr>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ascii="仿宋" w:hAnsi="仿宋" w:eastAsia="仿宋" w:cs="仿宋"/>
                <w:color w:val="auto"/>
                <w:sz w:val="24"/>
                <w:szCs w:val="24"/>
                <w:highlight w:val="none"/>
              </w:rPr>
            </w:pPr>
          </w:p>
        </w:tc>
      </w:tr>
      <w:tr w14:paraId="7D5CBC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shd w:val="clear" w:color="auto" w:fill="auto"/>
            <w:vAlign w:val="center"/>
          </w:tcPr>
          <w:p w14:paraId="26900022">
            <w:pPr>
              <w:keepNext w:val="0"/>
              <w:keepLines w:val="0"/>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5</w:t>
            </w:r>
          </w:p>
        </w:tc>
        <w:tc>
          <w:tcPr>
            <w:tcW w:w="1293" w:type="dxa"/>
            <w:shd w:val="clear" w:color="auto" w:fill="auto"/>
            <w:vAlign w:val="center"/>
          </w:tcPr>
          <w:p w14:paraId="1363F583">
            <w:pPr>
              <w:keepNext w:val="0"/>
              <w:keepLines w:val="0"/>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lang w:val="en-US" w:eastAsia="zh-CN" w:bidi="ar"/>
              </w:rPr>
              <w:t>管理体系认证</w:t>
            </w:r>
          </w:p>
        </w:tc>
        <w:tc>
          <w:tcPr>
            <w:tcW w:w="1050" w:type="dxa"/>
            <w:shd w:val="clear" w:color="auto" w:fill="auto"/>
            <w:vAlign w:val="center"/>
          </w:tcPr>
          <w:p w14:paraId="38E4ECCA">
            <w:pPr>
              <w:keepNext w:val="0"/>
              <w:keepLines w:val="0"/>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6</w:t>
            </w:r>
          </w:p>
        </w:tc>
        <w:tc>
          <w:tcPr>
            <w:tcW w:w="5756" w:type="dxa"/>
            <w:shd w:val="clear" w:color="auto" w:fill="auto"/>
            <w:vAlign w:val="center"/>
          </w:tcPr>
          <w:p w14:paraId="463D040F">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响应供应商具备ISO9001质量管理体系认证证书；ISO14001环境管理体系认证证书；ISO45001职业健康安全管理体系认证证书。有一项得2分，本项最多得6分，不提供不得分。</w:t>
            </w:r>
          </w:p>
          <w:p w14:paraId="0087164E">
            <w:pPr>
              <w:keepNext w:val="0"/>
              <w:keepLines w:val="0"/>
              <w:pageBreakBefore w:val="0"/>
              <w:widowControl/>
              <w:kinsoku/>
              <w:wordWrap/>
              <w:overflowPunct/>
              <w:topLinePunct w:val="0"/>
              <w:autoSpaceDE/>
              <w:autoSpaceDN/>
              <w:bidi w:val="0"/>
              <w:spacing w:line="300" w:lineRule="exact"/>
              <w:ind w:firstLine="482" w:firstLineChars="200"/>
              <w:jc w:val="left"/>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注：响应文件中须提供认证证书扫描件和全国认证认可信息公共服务平台查询截图加盖单位公章，未提供或提供不全不得分。</w:t>
            </w:r>
          </w:p>
        </w:tc>
        <w:tc>
          <w:tcPr>
            <w:tcW w:w="779" w:type="dxa"/>
          </w:tcPr>
          <w:p w14:paraId="021CB250">
            <w:pPr>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ascii="仿宋" w:hAnsi="仿宋" w:eastAsia="仿宋" w:cs="仿宋"/>
                <w:color w:val="auto"/>
                <w:sz w:val="24"/>
                <w:szCs w:val="24"/>
                <w:highlight w:val="none"/>
              </w:rPr>
            </w:pPr>
          </w:p>
        </w:tc>
      </w:tr>
      <w:tr w14:paraId="70ABC6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shd w:val="clear" w:color="auto" w:fill="auto"/>
            <w:vAlign w:val="center"/>
          </w:tcPr>
          <w:p w14:paraId="0C9EDBFD">
            <w:pPr>
              <w:keepNext w:val="0"/>
              <w:keepLines w:val="0"/>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6</w:t>
            </w:r>
          </w:p>
        </w:tc>
        <w:tc>
          <w:tcPr>
            <w:tcW w:w="1293" w:type="dxa"/>
            <w:shd w:val="clear" w:color="auto" w:fill="auto"/>
            <w:vAlign w:val="center"/>
          </w:tcPr>
          <w:p w14:paraId="6B328553">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bidi="ar"/>
              </w:rPr>
              <w:t>创新管理</w:t>
            </w:r>
          </w:p>
        </w:tc>
        <w:tc>
          <w:tcPr>
            <w:tcW w:w="1050" w:type="dxa"/>
            <w:shd w:val="clear" w:color="auto" w:fill="auto"/>
            <w:vAlign w:val="center"/>
          </w:tcPr>
          <w:p w14:paraId="63227569">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bidi="ar"/>
              </w:rPr>
              <w:t>5</w:t>
            </w:r>
          </w:p>
        </w:tc>
        <w:tc>
          <w:tcPr>
            <w:tcW w:w="5756" w:type="dxa"/>
            <w:shd w:val="clear" w:color="auto" w:fill="auto"/>
            <w:vAlign w:val="center"/>
          </w:tcPr>
          <w:p w14:paraId="1E858CF2">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firstLine="480" w:firstLineChars="200"/>
              <w:jc w:val="left"/>
              <w:textAlignment w:val="auto"/>
              <w:rPr>
                <w:rFonts w:hint="eastAsia" w:ascii="仿宋" w:hAnsi="仿宋" w:eastAsia="仿宋" w:cs="仿宋"/>
                <w:b w:val="0"/>
                <w:bCs/>
                <w:color w:val="auto"/>
                <w:sz w:val="24"/>
                <w:szCs w:val="24"/>
                <w:highlight w:val="none"/>
              </w:rPr>
            </w:pPr>
            <w:r>
              <w:rPr>
                <w:rFonts w:hint="eastAsia" w:ascii="仿宋" w:hAnsi="仿宋" w:eastAsia="仿宋" w:cs="仿宋"/>
                <w:color w:val="auto"/>
                <w:sz w:val="24"/>
                <w:szCs w:val="24"/>
                <w:highlight w:val="none"/>
                <w:lang w:val="en-US" w:eastAsia="zh-CN" w:bidi="ar"/>
              </w:rPr>
              <w:t>响应供应商</w:t>
            </w:r>
            <w:r>
              <w:rPr>
                <w:rFonts w:hint="eastAsia" w:ascii="仿宋" w:hAnsi="仿宋" w:eastAsia="仿宋" w:cs="仿宋"/>
                <w:b w:val="0"/>
                <w:bCs/>
                <w:color w:val="auto"/>
                <w:sz w:val="24"/>
                <w:szCs w:val="24"/>
                <w:highlight w:val="none"/>
                <w:lang w:val="en-US" w:eastAsia="zh-CN" w:bidi="ar"/>
              </w:rPr>
              <w:t>具有智慧环卫管理软件平台（拥有所有权，后台数据须对招标人开放），软件平台包含但不限于以下功能：垃圾清运作业监测、环卫作业车辆轨迹监测记录、环卫作业大数据管理、环卫作业路径规划、环卫品质监管（项目巡检管理）等，具有其中一项功能得1分，</w:t>
            </w:r>
            <w:r>
              <w:rPr>
                <w:rFonts w:hint="eastAsia" w:ascii="仿宋" w:hAnsi="仿宋" w:eastAsia="仿宋" w:cs="仿宋"/>
                <w:color w:val="auto"/>
                <w:sz w:val="24"/>
                <w:szCs w:val="24"/>
                <w:highlight w:val="none"/>
                <w:lang w:val="en-US" w:eastAsia="zh-CN" w:bidi="ar"/>
              </w:rPr>
              <w:t>本项最多得5分，不提供不得分（提供项目经理级别以上人员系统账户及登录密码、网址）。</w:t>
            </w:r>
          </w:p>
          <w:p w14:paraId="26450A83">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482" w:firstLineChars="200"/>
              <w:jc w:val="left"/>
              <w:textAlignment w:val="auto"/>
              <w:rPr>
                <w:rFonts w:hint="default" w:ascii="仿宋" w:hAnsi="仿宋" w:eastAsia="仿宋" w:cs="仿宋"/>
                <w:b/>
                <w:bCs w:val="0"/>
                <w:color w:val="auto"/>
                <w:sz w:val="24"/>
                <w:szCs w:val="24"/>
                <w:highlight w:val="none"/>
                <w:lang w:val="en-US"/>
              </w:rPr>
            </w:pPr>
            <w:r>
              <w:rPr>
                <w:rFonts w:hint="eastAsia" w:ascii="仿宋" w:hAnsi="仿宋" w:eastAsia="仿宋" w:cs="仿宋"/>
                <w:b/>
                <w:bCs w:val="0"/>
                <w:color w:val="auto"/>
                <w:sz w:val="24"/>
                <w:szCs w:val="24"/>
                <w:highlight w:val="none"/>
                <w:lang w:val="en-US" w:eastAsia="zh-CN" w:bidi="ar"/>
              </w:rPr>
              <w:t>注：①平台如为购买须提供平台购买合同、发票扫描件、资金支付凭证及登录后相关功能截图，加盖投标人公章；如为自有须提供自有研发证书。不提供或提供不全不得分。</w:t>
            </w:r>
          </w:p>
          <w:p w14:paraId="79091369">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00" w:lineRule="exact"/>
              <w:ind w:left="0" w:leftChars="0" w:right="0" w:rightChars="0" w:firstLine="482"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
              </w:rPr>
              <w:t>②</w:t>
            </w:r>
            <w:r>
              <w:rPr>
                <w:rFonts w:hint="eastAsia" w:ascii="仿宋" w:hAnsi="仿宋" w:eastAsia="仿宋" w:cs="仿宋"/>
                <w:b/>
                <w:bCs/>
                <w:color w:val="auto"/>
                <w:sz w:val="24"/>
                <w:szCs w:val="24"/>
                <w:highlight w:val="none"/>
                <w:lang w:val="en-US" w:eastAsia="zh-CN" w:bidi="ar"/>
              </w:rPr>
              <w:t>响应供应商需提供承诺函（格式自拟），承诺后台数据对采购人开放，不提供或提供不全不得分。</w:t>
            </w:r>
          </w:p>
        </w:tc>
        <w:tc>
          <w:tcPr>
            <w:tcW w:w="779" w:type="dxa"/>
          </w:tcPr>
          <w:p w14:paraId="47271DDB">
            <w:pPr>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ascii="仿宋" w:hAnsi="仿宋" w:eastAsia="仿宋" w:cs="仿宋"/>
                <w:color w:val="auto"/>
                <w:sz w:val="24"/>
                <w:szCs w:val="24"/>
                <w:highlight w:val="none"/>
                <w:lang w:val="en-US" w:eastAsia="zh-CN"/>
              </w:rPr>
            </w:pPr>
          </w:p>
        </w:tc>
      </w:tr>
      <w:tr w14:paraId="262043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shd w:val="clear" w:color="auto" w:fill="auto"/>
            <w:vAlign w:val="center"/>
          </w:tcPr>
          <w:p w14:paraId="45DE4E09">
            <w:pPr>
              <w:keepNext w:val="0"/>
              <w:keepLines w:val="0"/>
              <w:pageBreakBefore w:val="0"/>
              <w:widowControl/>
              <w:kinsoku/>
              <w:wordWrap/>
              <w:overflowPunct/>
              <w:topLinePunct w:val="0"/>
              <w:autoSpaceDE/>
              <w:autoSpaceDN/>
              <w:bidi w:val="0"/>
              <w:spacing w:line="300" w:lineRule="exact"/>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7</w:t>
            </w:r>
          </w:p>
        </w:tc>
        <w:tc>
          <w:tcPr>
            <w:tcW w:w="1293" w:type="dxa"/>
            <w:shd w:val="clear" w:color="auto" w:fill="auto"/>
            <w:vAlign w:val="center"/>
          </w:tcPr>
          <w:p w14:paraId="0048E16C">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lang w:val="en-US" w:eastAsia="zh-CN" w:bidi="ar"/>
              </w:rPr>
              <w:t>服务水平</w:t>
            </w:r>
          </w:p>
        </w:tc>
        <w:tc>
          <w:tcPr>
            <w:tcW w:w="1050" w:type="dxa"/>
            <w:shd w:val="clear" w:color="auto" w:fill="auto"/>
            <w:vAlign w:val="center"/>
          </w:tcPr>
          <w:p w14:paraId="08A34FC0">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lang w:val="en-US" w:eastAsia="zh-CN" w:bidi="ar"/>
              </w:rPr>
              <w:t>8</w:t>
            </w:r>
          </w:p>
        </w:tc>
        <w:tc>
          <w:tcPr>
            <w:tcW w:w="5756" w:type="dxa"/>
            <w:shd w:val="clear" w:color="auto" w:fill="auto"/>
            <w:vAlign w:val="center"/>
          </w:tcPr>
          <w:p w14:paraId="7B2D1869">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1.自2021年1月1日以来响应供应商获得县（区）、市级及以上政府部门颁发的荣誉或表彰的有一个得1分。本项最多3分，不提供不得分。</w:t>
            </w:r>
          </w:p>
          <w:p w14:paraId="358DC991">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firstLine="482" w:firstLineChars="200"/>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bidi="ar"/>
              </w:rPr>
              <w:t>响应文件中须提供获奖证书或红头文件扫描件加盖响应供应商公章，未提供不得分。</w:t>
            </w:r>
          </w:p>
          <w:p w14:paraId="04C1C85F">
            <w:pPr>
              <w:pStyle w:val="14"/>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bidi="ar"/>
              </w:rPr>
              <w:t>2.响应</w:t>
            </w:r>
            <w:r>
              <w:rPr>
                <w:rFonts w:hint="eastAsia" w:ascii="仿宋" w:hAnsi="仿宋" w:eastAsia="仿宋" w:cs="仿宋"/>
                <w:color w:val="auto"/>
                <w:sz w:val="24"/>
                <w:szCs w:val="24"/>
                <w:highlight w:val="none"/>
                <w:lang w:val="en-US" w:eastAsia="zh-CN" w:bidi="ar"/>
              </w:rPr>
              <w:t>供应商</w:t>
            </w:r>
            <w:r>
              <w:rPr>
                <w:rFonts w:hint="eastAsia" w:ascii="仿宋" w:hAnsi="仿宋" w:eastAsia="仿宋" w:cs="仿宋"/>
                <w:b w:val="0"/>
                <w:bCs w:val="0"/>
                <w:color w:val="auto"/>
                <w:sz w:val="24"/>
                <w:szCs w:val="24"/>
                <w:highlight w:val="none"/>
                <w:lang w:val="en-US" w:eastAsia="zh-CN" w:bidi="ar"/>
              </w:rPr>
              <w:t>获得</w:t>
            </w:r>
            <w:r>
              <w:rPr>
                <w:rFonts w:hint="eastAsia" w:ascii="仿宋" w:hAnsi="仿宋" w:eastAsia="仿宋" w:cs="仿宋"/>
                <w:color w:val="auto"/>
                <w:sz w:val="24"/>
                <w:szCs w:val="24"/>
                <w:highlight w:val="none"/>
                <w:lang w:val="en-US" w:eastAsia="zh-CN" w:bidi="ar"/>
              </w:rPr>
              <w:t>人力资源和社会保障部门颁发的劳动保障信用（诚信）表彰的，得3分。</w:t>
            </w:r>
          </w:p>
          <w:p w14:paraId="39CE043A">
            <w:pPr>
              <w:pStyle w:val="5"/>
              <w:keepNext w:val="0"/>
              <w:keepLines w:val="0"/>
              <w:pageBreakBefore w:val="0"/>
              <w:numPr>
                <w:ilvl w:val="0"/>
                <w:numId w:val="0"/>
              </w:numPr>
              <w:kinsoku/>
              <w:wordWrap/>
              <w:overflowPunct/>
              <w:topLinePunct w:val="0"/>
              <w:autoSpaceDE/>
              <w:autoSpaceDN/>
              <w:bidi w:val="0"/>
              <w:spacing w:line="300" w:lineRule="exact"/>
              <w:ind w:firstLine="482" w:firstLineChars="200"/>
              <w:textAlignment w:val="auto"/>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响应文件中须提供证书或荣誉证明资料扫描件等加盖响应供应商公章，不提供不得分。</w:t>
            </w:r>
          </w:p>
          <w:p w14:paraId="0122AF52">
            <w:pPr>
              <w:keepNext w:val="0"/>
              <w:keepLines w:val="0"/>
              <w:pageBreakBefore w:val="0"/>
              <w:kinsoku/>
              <w:wordWrap/>
              <w:overflowPunct/>
              <w:topLinePunct w:val="0"/>
              <w:autoSpaceDE/>
              <w:autoSpaceDN/>
              <w:bidi w:val="0"/>
              <w:spacing w:line="300" w:lineRule="exact"/>
              <w:ind w:firstLine="480" w:firstLineChars="200"/>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
              </w:rPr>
              <w:t>3.响</w:t>
            </w:r>
            <w:r>
              <w:rPr>
                <w:rFonts w:hint="eastAsia" w:ascii="仿宋" w:hAnsi="仿宋" w:eastAsia="仿宋" w:cs="仿宋"/>
                <w:color w:val="auto"/>
                <w:sz w:val="24"/>
                <w:szCs w:val="24"/>
                <w:highlight w:val="none"/>
                <w:lang w:val="en-US" w:eastAsia="zh-CN" w:bidi="ar"/>
              </w:rPr>
              <w:t>应供应商具有有效的“道路运输经营许可证”的，得2分。</w:t>
            </w:r>
            <w:r>
              <w:rPr>
                <w:rFonts w:hint="eastAsia" w:ascii="仿宋" w:hAnsi="仿宋" w:eastAsia="仿宋" w:cs="仿宋"/>
                <w:b/>
                <w:bCs/>
                <w:color w:val="auto"/>
                <w:sz w:val="24"/>
                <w:szCs w:val="24"/>
                <w:highlight w:val="none"/>
                <w:lang w:val="en-US" w:eastAsia="zh-CN" w:bidi="ar"/>
              </w:rPr>
              <w:t>响应文件中须提供证书原件扫描件，不提供不得分。</w:t>
            </w:r>
          </w:p>
        </w:tc>
        <w:tc>
          <w:tcPr>
            <w:tcW w:w="779" w:type="dxa"/>
          </w:tcPr>
          <w:p w14:paraId="58649788">
            <w:pPr>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ascii="仿宋" w:hAnsi="仿宋" w:eastAsia="仿宋" w:cs="仿宋"/>
                <w:color w:val="auto"/>
                <w:sz w:val="24"/>
                <w:szCs w:val="24"/>
                <w:highlight w:val="none"/>
              </w:rPr>
            </w:pPr>
          </w:p>
        </w:tc>
      </w:tr>
      <w:tr w14:paraId="37E8BC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shd w:val="clear" w:color="auto" w:fill="auto"/>
            <w:vAlign w:val="center"/>
          </w:tcPr>
          <w:p w14:paraId="21D5CAD0">
            <w:pPr>
              <w:keepNext w:val="0"/>
              <w:keepLines w:val="0"/>
              <w:pageBreakBefore w:val="0"/>
              <w:widowControl/>
              <w:kinsoku/>
              <w:wordWrap/>
              <w:overflowPunct/>
              <w:topLinePunct w:val="0"/>
              <w:autoSpaceDE/>
              <w:autoSpaceDN/>
              <w:bidi w:val="0"/>
              <w:spacing w:line="3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8</w:t>
            </w:r>
          </w:p>
        </w:tc>
        <w:tc>
          <w:tcPr>
            <w:tcW w:w="1293" w:type="dxa"/>
            <w:shd w:val="clear" w:color="auto" w:fill="auto"/>
            <w:vAlign w:val="center"/>
          </w:tcPr>
          <w:p w14:paraId="2921E3B0">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lang w:val="en-US" w:eastAsia="zh-CN" w:bidi="ar"/>
              </w:rPr>
              <w:t>业绩</w:t>
            </w:r>
          </w:p>
        </w:tc>
        <w:tc>
          <w:tcPr>
            <w:tcW w:w="1050" w:type="dxa"/>
            <w:shd w:val="clear" w:color="auto" w:fill="auto"/>
            <w:vAlign w:val="center"/>
          </w:tcPr>
          <w:p w14:paraId="5C4BF05A">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lang w:val="en-US" w:eastAsia="zh-CN" w:bidi="ar"/>
              </w:rPr>
              <w:t>9</w:t>
            </w:r>
          </w:p>
        </w:tc>
        <w:tc>
          <w:tcPr>
            <w:tcW w:w="5756" w:type="dxa"/>
            <w:shd w:val="clear" w:color="auto" w:fill="auto"/>
            <w:vAlign w:val="center"/>
          </w:tcPr>
          <w:p w14:paraId="428134B7">
            <w:pPr>
              <w:keepNext w:val="0"/>
              <w:keepLines w:val="0"/>
              <w:pageBreakBefore w:val="0"/>
              <w:numPr>
                <w:ilvl w:val="0"/>
                <w:numId w:val="0"/>
              </w:numPr>
              <w:kinsoku/>
              <w:wordWrap/>
              <w:overflowPunct/>
              <w:topLinePunct w:val="0"/>
              <w:autoSpaceDE/>
              <w:autoSpaceDN/>
              <w:bidi w:val="0"/>
              <w:spacing w:line="30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1.</w:t>
            </w:r>
            <w:r>
              <w:rPr>
                <w:rFonts w:hint="eastAsia" w:ascii="仿宋" w:hAnsi="仿宋" w:eastAsia="仿宋" w:cs="仿宋"/>
                <w:color w:val="auto"/>
                <w:sz w:val="24"/>
                <w:szCs w:val="24"/>
                <w:highlight w:val="none"/>
                <w:lang w:val="en-US" w:eastAsia="zh-CN"/>
              </w:rPr>
              <w:t>自2021年1月1日以来（以合同签订时间为准），</w:t>
            </w:r>
            <w:r>
              <w:rPr>
                <w:rFonts w:hint="eastAsia" w:ascii="仿宋" w:hAnsi="仿宋" w:eastAsia="仿宋" w:cs="仿宋"/>
                <w:color w:val="auto"/>
                <w:sz w:val="24"/>
                <w:szCs w:val="24"/>
                <w:highlight w:val="none"/>
                <w:lang w:val="en-US" w:eastAsia="zh-CN" w:bidi="ar"/>
              </w:rPr>
              <w:t>响应供应商</w:t>
            </w:r>
            <w:r>
              <w:rPr>
                <w:rFonts w:hint="eastAsia" w:ascii="仿宋" w:hAnsi="仿宋" w:eastAsia="仿宋" w:cs="仿宋"/>
                <w:color w:val="auto"/>
                <w:sz w:val="24"/>
                <w:szCs w:val="24"/>
                <w:highlight w:val="none"/>
                <w:lang w:val="en-US" w:eastAsia="zh-CN"/>
              </w:rPr>
              <w:t>承担过类似垃圾转运及垃圾站运营服务内容的业绩，具备一个业绩得3分，本项最高得6分；</w:t>
            </w:r>
          </w:p>
          <w:p w14:paraId="4386AB66">
            <w:pPr>
              <w:keepNext w:val="0"/>
              <w:keepLines w:val="0"/>
              <w:pageBreakBefore w:val="0"/>
              <w:widowControl/>
              <w:numPr>
                <w:ilvl w:val="0"/>
                <w:numId w:val="0"/>
              </w:numPr>
              <w:kinsoku/>
              <w:wordWrap/>
              <w:overflowPunct/>
              <w:topLinePunct w:val="0"/>
              <w:autoSpaceDE/>
              <w:autoSpaceDN/>
              <w:bidi w:val="0"/>
              <w:spacing w:line="300" w:lineRule="exact"/>
              <w:ind w:firstLine="480" w:firstLineChars="200"/>
              <w:jc w:val="both"/>
              <w:textAlignment w:val="auto"/>
              <w:rPr>
                <w:rFonts w:hint="eastAsia" w:ascii="仿宋" w:hAnsi="仿宋" w:eastAsia="仿宋" w:cs="仿宋"/>
                <w:color w:val="auto"/>
                <w:sz w:val="24"/>
                <w:szCs w:val="24"/>
                <w:highlight w:val="none"/>
                <w:lang w:eastAsia="zh-CN"/>
              </w:rPr>
            </w:pPr>
            <w:r>
              <w:rPr>
                <w:rStyle w:val="34"/>
                <w:rFonts w:hint="eastAsia" w:ascii="仿宋" w:hAnsi="仿宋" w:eastAsia="仿宋" w:cs="仿宋"/>
                <w:color w:val="auto"/>
                <w:sz w:val="24"/>
                <w:szCs w:val="24"/>
                <w:highlight w:val="none"/>
                <w:lang w:val="en-US" w:eastAsia="zh-CN"/>
              </w:rPr>
              <w:t>2.自</w:t>
            </w:r>
            <w:r>
              <w:rPr>
                <w:rStyle w:val="34"/>
                <w:rFonts w:hint="eastAsia" w:ascii="仿宋" w:hAnsi="仿宋" w:eastAsia="仿宋" w:cs="仿宋"/>
                <w:color w:val="auto"/>
                <w:sz w:val="24"/>
                <w:szCs w:val="24"/>
                <w:highlight w:val="none"/>
              </w:rPr>
              <w:t>202</w:t>
            </w:r>
            <w:r>
              <w:rPr>
                <w:rStyle w:val="34"/>
                <w:rFonts w:hint="eastAsia" w:ascii="仿宋" w:hAnsi="仿宋" w:eastAsia="仿宋" w:cs="仿宋"/>
                <w:color w:val="auto"/>
                <w:sz w:val="24"/>
                <w:szCs w:val="24"/>
                <w:highlight w:val="none"/>
                <w:lang w:val="en-US" w:eastAsia="zh-CN"/>
              </w:rPr>
              <w:t>1</w:t>
            </w:r>
            <w:r>
              <w:rPr>
                <w:rStyle w:val="34"/>
                <w:rFonts w:hint="eastAsia" w:ascii="仿宋" w:hAnsi="仿宋" w:eastAsia="仿宋" w:cs="仿宋"/>
                <w:color w:val="auto"/>
                <w:sz w:val="24"/>
                <w:szCs w:val="24"/>
                <w:highlight w:val="none"/>
              </w:rPr>
              <w:t>年1月1日以来（以合同签订时间</w:t>
            </w:r>
            <w:r>
              <w:rPr>
                <w:rStyle w:val="34"/>
                <w:rFonts w:hint="eastAsia" w:ascii="仿宋" w:hAnsi="仿宋" w:eastAsia="仿宋" w:cs="仿宋"/>
                <w:color w:val="auto"/>
                <w:sz w:val="24"/>
                <w:szCs w:val="24"/>
                <w:highlight w:val="none"/>
                <w:lang w:val="en-US" w:eastAsia="zh-CN"/>
              </w:rPr>
              <w:t>为</w:t>
            </w:r>
            <w:r>
              <w:rPr>
                <w:rStyle w:val="34"/>
                <w:rFonts w:hint="eastAsia" w:ascii="仿宋" w:hAnsi="仿宋" w:eastAsia="仿宋" w:cs="仿宋"/>
                <w:color w:val="auto"/>
                <w:sz w:val="24"/>
                <w:szCs w:val="24"/>
                <w:highlight w:val="none"/>
              </w:rPr>
              <w:t>准）</w:t>
            </w:r>
            <w:r>
              <w:rPr>
                <w:rStyle w:val="34"/>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bidi="ar"/>
              </w:rPr>
              <w:t>响应供应商</w:t>
            </w:r>
            <w:r>
              <w:rPr>
                <w:rStyle w:val="34"/>
                <w:rFonts w:hint="eastAsia" w:ascii="仿宋" w:hAnsi="仿宋" w:eastAsia="仿宋" w:cs="仿宋"/>
                <w:color w:val="auto"/>
                <w:sz w:val="24"/>
                <w:szCs w:val="24"/>
                <w:highlight w:val="none"/>
              </w:rPr>
              <w:t>服务业绩合同内容</w:t>
            </w:r>
            <w:r>
              <w:rPr>
                <w:rStyle w:val="34"/>
                <w:rFonts w:hint="eastAsia" w:ascii="仿宋" w:hAnsi="仿宋" w:eastAsia="仿宋" w:cs="仿宋"/>
                <w:color w:val="auto"/>
                <w:sz w:val="24"/>
                <w:szCs w:val="24"/>
                <w:highlight w:val="none"/>
                <w:lang w:val="en-US" w:eastAsia="zh-CN"/>
              </w:rPr>
              <w:t>包含</w:t>
            </w:r>
            <w:r>
              <w:rPr>
                <w:rStyle w:val="34"/>
                <w:rFonts w:hint="eastAsia" w:ascii="仿宋" w:hAnsi="仿宋" w:eastAsia="仿宋" w:cs="仿宋"/>
                <w:b w:val="0"/>
                <w:bCs w:val="0"/>
                <w:color w:val="auto"/>
                <w:sz w:val="24"/>
                <w:szCs w:val="24"/>
                <w:highlight w:val="none"/>
                <w:lang w:val="en-US" w:eastAsia="zh-CN"/>
              </w:rPr>
              <w:t>污水处理设施运维的</w:t>
            </w:r>
            <w:r>
              <w:rPr>
                <w:rStyle w:val="34"/>
                <w:rFonts w:hint="eastAsia" w:ascii="仿宋" w:hAnsi="仿宋" w:eastAsia="仿宋" w:cs="仿宋"/>
                <w:color w:val="auto"/>
                <w:sz w:val="24"/>
                <w:szCs w:val="24"/>
                <w:highlight w:val="none"/>
              </w:rPr>
              <w:t>，具备一个业绩得</w:t>
            </w:r>
            <w:r>
              <w:rPr>
                <w:rStyle w:val="34"/>
                <w:rFonts w:hint="eastAsia" w:ascii="仿宋" w:hAnsi="仿宋" w:eastAsia="仿宋" w:cs="仿宋"/>
                <w:color w:val="auto"/>
                <w:sz w:val="24"/>
                <w:szCs w:val="24"/>
                <w:highlight w:val="none"/>
                <w:lang w:val="en-US" w:eastAsia="zh-CN"/>
              </w:rPr>
              <w:t>3</w:t>
            </w:r>
            <w:r>
              <w:rPr>
                <w:rStyle w:val="34"/>
                <w:rFonts w:hint="eastAsia" w:ascii="仿宋" w:hAnsi="仿宋" w:eastAsia="仿宋" w:cs="仿宋"/>
                <w:color w:val="auto"/>
                <w:sz w:val="24"/>
                <w:szCs w:val="24"/>
                <w:highlight w:val="none"/>
              </w:rPr>
              <w:t>分，本项最高得</w:t>
            </w:r>
            <w:r>
              <w:rPr>
                <w:rStyle w:val="34"/>
                <w:rFonts w:hint="eastAsia" w:ascii="仿宋" w:hAnsi="仿宋" w:eastAsia="仿宋" w:cs="仿宋"/>
                <w:color w:val="auto"/>
                <w:sz w:val="24"/>
                <w:szCs w:val="24"/>
                <w:highlight w:val="none"/>
                <w:lang w:val="en-US" w:eastAsia="zh-CN"/>
              </w:rPr>
              <w:t>3</w:t>
            </w:r>
            <w:r>
              <w:rPr>
                <w:rStyle w:val="34"/>
                <w:rFonts w:hint="eastAsia" w:ascii="仿宋" w:hAnsi="仿宋" w:eastAsia="仿宋" w:cs="仿宋"/>
                <w:color w:val="auto"/>
                <w:sz w:val="24"/>
                <w:szCs w:val="24"/>
                <w:highlight w:val="none"/>
              </w:rPr>
              <w:t>分；</w:t>
            </w:r>
          </w:p>
          <w:p w14:paraId="1DD390F7">
            <w:pPr>
              <w:keepNext w:val="0"/>
              <w:keepLines w:val="0"/>
              <w:pageBreakBefore w:val="0"/>
              <w:numPr>
                <w:ilvl w:val="0"/>
                <w:numId w:val="0"/>
              </w:numPr>
              <w:kinsoku/>
              <w:wordWrap/>
              <w:overflowPunct/>
              <w:topLinePunct w:val="0"/>
              <w:autoSpaceDE/>
              <w:autoSpaceDN/>
              <w:bidi w:val="0"/>
              <w:spacing w:line="300" w:lineRule="exact"/>
              <w:ind w:left="0" w:leftChars="0" w:firstLine="482" w:firstLineChars="200"/>
              <w:textAlignment w:val="auto"/>
              <w:rPr>
                <w:rFonts w:hint="eastAsia" w:ascii="仿宋" w:hAnsi="仿宋" w:eastAsia="仿宋" w:cs="仿宋"/>
                <w:b/>
                <w:bCs/>
                <w:color w:val="auto"/>
                <w:kern w:val="2"/>
                <w:sz w:val="24"/>
                <w:szCs w:val="24"/>
                <w:highlight w:val="none"/>
                <w:lang w:val="en-US" w:eastAsia="zh-CN" w:bidi="ar"/>
              </w:rPr>
            </w:pPr>
            <w:r>
              <w:rPr>
                <w:rFonts w:hint="eastAsia" w:ascii="仿宋" w:hAnsi="仿宋" w:eastAsia="仿宋" w:cs="仿宋"/>
                <w:b/>
                <w:bCs/>
                <w:color w:val="auto"/>
                <w:sz w:val="24"/>
                <w:szCs w:val="24"/>
                <w:highlight w:val="none"/>
                <w:lang w:val="en-US" w:eastAsia="zh-CN"/>
              </w:rPr>
              <w:t>注：业绩须同时提供中标通知书、合同、履约验收报告书原件扫描件加盖响应供应商公章。不提供或提供不全不得分。同一项目不同年份业绩不重复得分。</w:t>
            </w:r>
          </w:p>
        </w:tc>
        <w:tc>
          <w:tcPr>
            <w:tcW w:w="779" w:type="dxa"/>
          </w:tcPr>
          <w:p w14:paraId="5B0EC7C4">
            <w:pPr>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ascii="仿宋" w:hAnsi="仿宋" w:eastAsia="仿宋" w:cs="仿宋"/>
                <w:color w:val="auto"/>
                <w:sz w:val="24"/>
                <w:szCs w:val="24"/>
                <w:highlight w:val="none"/>
              </w:rPr>
            </w:pPr>
          </w:p>
        </w:tc>
      </w:tr>
      <w:tr w14:paraId="1C5941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shd w:val="clear" w:color="auto" w:fill="auto"/>
            <w:vAlign w:val="center"/>
          </w:tcPr>
          <w:p w14:paraId="3C0C8D8A">
            <w:pPr>
              <w:keepNext w:val="0"/>
              <w:keepLines w:val="0"/>
              <w:pageBreakBefore w:val="0"/>
              <w:widowControl/>
              <w:kinsoku/>
              <w:wordWrap/>
              <w:overflowPunct/>
              <w:topLinePunct w:val="0"/>
              <w:autoSpaceDE/>
              <w:autoSpaceDN/>
              <w:bidi w:val="0"/>
              <w:spacing w:line="3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9</w:t>
            </w:r>
          </w:p>
        </w:tc>
        <w:tc>
          <w:tcPr>
            <w:tcW w:w="1293" w:type="dxa"/>
            <w:shd w:val="clear" w:color="auto" w:fill="auto"/>
            <w:vAlign w:val="center"/>
          </w:tcPr>
          <w:p w14:paraId="0B10463E">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lang w:val="en-US" w:eastAsia="zh-CN" w:bidi="ar"/>
              </w:rPr>
              <w:t>人员配置</w:t>
            </w:r>
          </w:p>
        </w:tc>
        <w:tc>
          <w:tcPr>
            <w:tcW w:w="1050" w:type="dxa"/>
            <w:shd w:val="clear" w:color="auto" w:fill="auto"/>
            <w:vAlign w:val="center"/>
          </w:tcPr>
          <w:p w14:paraId="49A318D4">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lang w:val="en-US" w:eastAsia="zh-CN" w:bidi="ar"/>
              </w:rPr>
              <w:t>19</w:t>
            </w:r>
          </w:p>
        </w:tc>
        <w:tc>
          <w:tcPr>
            <w:tcW w:w="5756" w:type="dxa"/>
            <w:shd w:val="clear" w:color="auto" w:fill="auto"/>
            <w:vAlign w:val="center"/>
          </w:tcPr>
          <w:p w14:paraId="5C968F1B">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1.项目负责人（5分）：</w:t>
            </w:r>
          </w:p>
          <w:p w14:paraId="501A6C0A">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00" w:lineRule="exact"/>
              <w:ind w:left="0" w:right="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拟派本项目经理为响应供应商正式员工，大专及以上学历，具有电气专业</w:t>
            </w:r>
            <w:r>
              <w:rPr>
                <w:rFonts w:hint="eastAsia" w:ascii="仿宋" w:hAnsi="仿宋" w:eastAsia="仿宋" w:cs="仿宋"/>
                <w:color w:val="auto"/>
                <w:sz w:val="24"/>
                <w:szCs w:val="24"/>
                <w:highlight w:val="none"/>
                <w:lang w:val="en-US" w:eastAsia="zh-CN"/>
              </w:rPr>
              <w:t>中级及以上</w:t>
            </w:r>
            <w:r>
              <w:rPr>
                <w:rFonts w:hint="eastAsia" w:ascii="仿宋" w:hAnsi="仿宋" w:eastAsia="仿宋" w:cs="仿宋"/>
                <w:color w:val="auto"/>
                <w:sz w:val="24"/>
                <w:szCs w:val="24"/>
                <w:highlight w:val="none"/>
              </w:rPr>
              <w:t>工程师职称</w:t>
            </w:r>
            <w:r>
              <w:rPr>
                <w:rFonts w:hint="eastAsia" w:ascii="仿宋" w:hAnsi="仿宋" w:eastAsia="仿宋" w:cs="仿宋"/>
                <w:color w:val="auto"/>
                <w:sz w:val="24"/>
                <w:szCs w:val="24"/>
                <w:highlight w:val="none"/>
                <w:lang w:val="en-US" w:eastAsia="zh-CN" w:bidi="ar"/>
              </w:rPr>
              <w:t>、具有3年以上类似本项目工作经历、获得过县（区）级</w:t>
            </w:r>
            <w:r>
              <w:rPr>
                <w:rFonts w:hint="eastAsia" w:ascii="仿宋" w:hAnsi="仿宋" w:eastAsia="仿宋" w:cs="仿宋"/>
                <w:color w:val="auto"/>
                <w:sz w:val="24"/>
                <w:szCs w:val="24"/>
                <w:highlight w:val="none"/>
              </w:rPr>
              <w:t>及以上人民政府或行业主管部门颁发的个人荣誉</w:t>
            </w:r>
            <w:r>
              <w:rPr>
                <w:rFonts w:hint="eastAsia" w:ascii="仿宋" w:hAnsi="仿宋" w:eastAsia="仿宋" w:cs="仿宋"/>
                <w:color w:val="auto"/>
                <w:sz w:val="24"/>
                <w:szCs w:val="24"/>
                <w:highlight w:val="none"/>
                <w:lang w:val="en-US" w:eastAsia="zh-CN" w:bidi="ar"/>
              </w:rPr>
              <w:t>，</w:t>
            </w:r>
            <w:r>
              <w:rPr>
                <w:rStyle w:val="34"/>
                <w:rFonts w:hint="eastAsia" w:ascii="仿宋" w:hAnsi="仿宋" w:eastAsia="仿宋" w:cs="仿宋"/>
                <w:color w:val="auto"/>
                <w:sz w:val="24"/>
                <w:szCs w:val="24"/>
                <w:highlight w:val="none"/>
              </w:rPr>
              <w:t>具备一</w:t>
            </w:r>
            <w:r>
              <w:rPr>
                <w:rStyle w:val="34"/>
                <w:rFonts w:hint="eastAsia" w:ascii="仿宋" w:hAnsi="仿宋" w:eastAsia="仿宋" w:cs="仿宋"/>
                <w:color w:val="auto"/>
                <w:sz w:val="24"/>
                <w:szCs w:val="24"/>
                <w:highlight w:val="none"/>
                <w:lang w:val="en-US" w:eastAsia="zh-CN"/>
              </w:rPr>
              <w:t>项</w:t>
            </w:r>
            <w:r>
              <w:rPr>
                <w:rStyle w:val="34"/>
                <w:rFonts w:hint="eastAsia" w:ascii="仿宋" w:hAnsi="仿宋" w:eastAsia="仿宋" w:cs="仿宋"/>
                <w:color w:val="auto"/>
                <w:sz w:val="24"/>
                <w:szCs w:val="24"/>
                <w:highlight w:val="none"/>
              </w:rPr>
              <w:t>得</w:t>
            </w:r>
            <w:r>
              <w:rPr>
                <w:rStyle w:val="34"/>
                <w:rFonts w:hint="eastAsia" w:ascii="仿宋" w:hAnsi="仿宋" w:eastAsia="仿宋" w:cs="仿宋"/>
                <w:color w:val="auto"/>
                <w:sz w:val="24"/>
                <w:szCs w:val="24"/>
                <w:highlight w:val="none"/>
                <w:lang w:val="en-US" w:eastAsia="zh-CN"/>
              </w:rPr>
              <w:t>1</w:t>
            </w:r>
            <w:r>
              <w:rPr>
                <w:rStyle w:val="34"/>
                <w:rFonts w:hint="eastAsia" w:ascii="仿宋" w:hAnsi="仿宋" w:eastAsia="仿宋" w:cs="仿宋"/>
                <w:color w:val="auto"/>
                <w:sz w:val="24"/>
                <w:szCs w:val="24"/>
                <w:highlight w:val="none"/>
              </w:rPr>
              <w:t>分，本项最高得</w:t>
            </w:r>
            <w:r>
              <w:rPr>
                <w:rStyle w:val="34"/>
                <w:rFonts w:hint="eastAsia" w:ascii="仿宋" w:hAnsi="仿宋" w:eastAsia="仿宋" w:cs="仿宋"/>
                <w:color w:val="auto"/>
                <w:sz w:val="24"/>
                <w:szCs w:val="24"/>
                <w:highlight w:val="none"/>
                <w:lang w:val="en-US" w:eastAsia="zh-CN"/>
              </w:rPr>
              <w:t>5</w:t>
            </w:r>
            <w:r>
              <w:rPr>
                <w:rStyle w:val="34"/>
                <w:rFonts w:hint="eastAsia" w:ascii="仿宋" w:hAnsi="仿宋" w:eastAsia="仿宋" w:cs="仿宋"/>
                <w:color w:val="auto"/>
                <w:sz w:val="24"/>
                <w:szCs w:val="24"/>
                <w:highlight w:val="none"/>
              </w:rPr>
              <w:t>分；</w:t>
            </w:r>
          </w:p>
          <w:p w14:paraId="2E73024B">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right="0" w:firstLine="482"/>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bidi="ar"/>
              </w:rPr>
              <w:t>响应文件中提供身份证、学历证书、职称证书、业绩合同及业主证明评价材料、荣誉证书加盖业主公章,及响应文件提交截止日前最近1个月响应供应商为其缴纳社保的证明；新成立企业距响应文件提交截止日期不足30日的，可不提供缴纳社保的证明（以新办企业营业执照发放日期为准）。</w:t>
            </w:r>
          </w:p>
          <w:p w14:paraId="3D24AF77">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val="en-US" w:eastAsia="zh-CN" w:bidi="ar"/>
              </w:rPr>
              <w:t>除项目负责人外，提供拟派项目管理人员具备如下条件（14分）：</w:t>
            </w:r>
          </w:p>
          <w:p w14:paraId="795ABBD2">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①拟投入本项目的管理人员为响应供应商正式员工，大专及以上学历，具有人社部门颁发的环境工程中级或以上职称的得2分，本项最高得2分。</w:t>
            </w:r>
          </w:p>
          <w:p w14:paraId="512029CC">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bidi="ar"/>
              </w:rPr>
              <w:t>②</w:t>
            </w:r>
            <w:r>
              <w:rPr>
                <w:rFonts w:hint="eastAsia" w:ascii="仿宋" w:hAnsi="仿宋" w:eastAsia="仿宋" w:cs="仿宋"/>
                <w:color w:val="auto"/>
                <w:sz w:val="24"/>
                <w:szCs w:val="24"/>
                <w:highlight w:val="none"/>
                <w:lang w:val="en-US" w:eastAsia="zh-CN" w:bidi="ar"/>
              </w:rPr>
              <w:t>拟投入本项目的安全员为响应供应商正式员工，大专及以上学历，具备</w:t>
            </w:r>
            <w:r>
              <w:rPr>
                <w:rFonts w:hint="eastAsia" w:ascii="仿宋" w:hAnsi="仿宋" w:eastAsia="仿宋" w:cs="仿宋"/>
                <w:i w:val="0"/>
                <w:iCs w:val="0"/>
                <w:color w:val="auto"/>
                <w:sz w:val="24"/>
                <w:szCs w:val="24"/>
                <w:highlight w:val="none"/>
                <w:lang w:val="en-US" w:eastAsia="zh-CN" w:bidi="ar"/>
              </w:rPr>
              <w:t>安全员C2或安全培训合格证书的得2分，</w:t>
            </w:r>
            <w:r>
              <w:rPr>
                <w:rFonts w:hint="eastAsia" w:ascii="仿宋" w:hAnsi="仿宋" w:eastAsia="仿宋" w:cs="仿宋"/>
                <w:color w:val="auto"/>
                <w:sz w:val="24"/>
                <w:szCs w:val="24"/>
                <w:highlight w:val="none"/>
                <w:lang w:val="en-US" w:eastAsia="zh-CN" w:bidi="ar"/>
              </w:rPr>
              <w:t>本项最高得2分。</w:t>
            </w:r>
          </w:p>
          <w:p w14:paraId="1C295606">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480" w:firstLineChars="200"/>
              <w:jc w:val="left"/>
              <w:textAlignment w:val="auto"/>
              <w:rPr>
                <w:rFonts w:hint="eastAsia" w:ascii="仿宋" w:hAnsi="仿宋" w:eastAsia="仿宋" w:cs="仿宋"/>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t>③</w:t>
            </w:r>
            <w:r>
              <w:rPr>
                <w:rFonts w:hint="eastAsia" w:ascii="仿宋" w:hAnsi="仿宋" w:eastAsia="仿宋" w:cs="仿宋"/>
                <w:color w:val="auto"/>
                <w:sz w:val="24"/>
                <w:szCs w:val="24"/>
                <w:highlight w:val="none"/>
                <w:lang w:val="en-US" w:eastAsia="zh-CN" w:bidi="ar"/>
              </w:rPr>
              <w:t>拟投入本项目的文员兼信息化管理员为响应供应商正式员工，大专及以上学历，</w:t>
            </w:r>
            <w:r>
              <w:rPr>
                <w:rFonts w:hint="eastAsia" w:ascii="仿宋" w:hAnsi="仿宋" w:eastAsia="仿宋" w:cs="仿宋"/>
                <w:color w:val="auto"/>
                <w:spacing w:val="0"/>
                <w:sz w:val="24"/>
                <w:szCs w:val="24"/>
                <w:highlight w:val="none"/>
                <w:lang w:val="en-US" w:eastAsia="zh-CN" w:bidi="ar"/>
              </w:rPr>
              <w:t>具有人力资源社会保障部或工业和信息化部颁发的计算机技术与软件专业技术资格证书或教育部门颁发的计算机等级考试合格证书的得2分。</w:t>
            </w:r>
            <w:r>
              <w:rPr>
                <w:rFonts w:hint="eastAsia" w:ascii="仿宋" w:hAnsi="仿宋" w:eastAsia="仿宋" w:cs="仿宋"/>
                <w:color w:val="auto"/>
                <w:sz w:val="24"/>
                <w:szCs w:val="24"/>
                <w:highlight w:val="none"/>
                <w:lang w:val="en-US" w:eastAsia="zh-CN" w:bidi="ar"/>
              </w:rPr>
              <w:t>本项最高得2分。</w:t>
            </w:r>
          </w:p>
          <w:p w14:paraId="26A25F1A">
            <w:pPr>
              <w:pStyle w:val="5"/>
              <w:keepNext w:val="0"/>
              <w:keepLines w:val="0"/>
              <w:pageBreakBefore w:val="0"/>
              <w:kinsoku/>
              <w:wordWrap/>
              <w:overflowPunct/>
              <w:topLinePunct w:val="0"/>
              <w:autoSpaceDE/>
              <w:autoSpaceDN/>
              <w:bidi w:val="0"/>
              <w:spacing w:line="300" w:lineRule="exact"/>
              <w:textAlignment w:val="auto"/>
              <w:rPr>
                <w:rFonts w:hint="eastAsia" w:ascii="仿宋" w:hAnsi="仿宋" w:eastAsia="仿宋" w:cs="仿宋"/>
                <w:b/>
                <w:bCs/>
                <w:color w:val="auto"/>
                <w:sz w:val="24"/>
                <w:szCs w:val="24"/>
                <w:highlight w:val="none"/>
                <w:lang w:val="en-US" w:eastAsia="zh-CN" w:bidi="ar"/>
              </w:rPr>
            </w:pPr>
            <w:r>
              <w:rPr>
                <w:rFonts w:hint="eastAsia" w:ascii="仿宋" w:hAnsi="仿宋" w:eastAsia="仿宋" w:cs="仿宋"/>
                <w:b/>
                <w:bCs/>
                <w:color w:val="auto"/>
                <w:sz w:val="24"/>
                <w:szCs w:val="24"/>
                <w:highlight w:val="none"/>
                <w:lang w:val="en-US" w:eastAsia="zh-CN" w:bidi="ar"/>
              </w:rPr>
              <w:t>响应文件中提供身份证、学历证书、相关证书、及响应文件提交截止日前最近1个月响应供应商为其缴纳社保的证明；新成立企业距响应文件提交截止日期不足30日的，可不提供缴纳社保的证明（以新办企业营业执照发放日期为准）。</w:t>
            </w:r>
          </w:p>
          <w:p w14:paraId="281D16B5">
            <w:pPr>
              <w:pStyle w:val="5"/>
              <w:keepNext w:val="0"/>
              <w:keepLines w:val="0"/>
              <w:pageBreakBefore w:val="0"/>
              <w:kinsoku/>
              <w:wordWrap/>
              <w:overflowPunct/>
              <w:topLinePunct w:val="0"/>
              <w:autoSpaceDE/>
              <w:autoSpaceDN/>
              <w:bidi w:val="0"/>
              <w:spacing w:line="300" w:lineRule="exact"/>
              <w:textAlignment w:val="auto"/>
              <w:rPr>
                <w:rFonts w:hint="eastAsia" w:ascii="仿宋" w:hAnsi="仿宋" w:eastAsia="仿宋" w:cs="仿宋"/>
                <w:color w:val="auto"/>
                <w:spacing w:val="0"/>
                <w:sz w:val="24"/>
                <w:szCs w:val="24"/>
                <w:highlight w:val="none"/>
                <w:lang w:val="en-US" w:eastAsia="zh-CN" w:bidi="ar"/>
              </w:rPr>
            </w:pPr>
            <w:r>
              <w:rPr>
                <w:rFonts w:hint="eastAsia" w:ascii="仿宋" w:hAnsi="仿宋" w:eastAsia="仿宋" w:cs="仿宋"/>
                <w:color w:val="auto"/>
                <w:sz w:val="24"/>
                <w:szCs w:val="24"/>
                <w:highlight w:val="none"/>
                <w:lang w:val="en-US" w:eastAsia="zh-CN" w:bidi="ar"/>
              </w:rPr>
              <w:t>④拟投入本项目的垃圾站管理人员为响应供应商正式员工，具有环保部门颁发的污废水处理工证书</w:t>
            </w:r>
            <w:r>
              <w:rPr>
                <w:rFonts w:hint="eastAsia" w:ascii="仿宋" w:hAnsi="仿宋" w:eastAsia="仿宋" w:cs="仿宋"/>
                <w:color w:val="auto"/>
                <w:spacing w:val="0"/>
                <w:sz w:val="24"/>
                <w:szCs w:val="24"/>
                <w:highlight w:val="none"/>
                <w:lang w:val="en-US" w:eastAsia="zh-CN" w:bidi="ar"/>
              </w:rPr>
              <w:t>的得2分，</w:t>
            </w:r>
            <w:r>
              <w:rPr>
                <w:rFonts w:hint="eastAsia" w:ascii="仿宋" w:hAnsi="仿宋" w:eastAsia="仿宋" w:cs="仿宋"/>
                <w:color w:val="auto"/>
                <w:sz w:val="24"/>
                <w:szCs w:val="24"/>
                <w:highlight w:val="none"/>
                <w:lang w:val="en-US" w:eastAsia="zh-CN" w:bidi="ar"/>
              </w:rPr>
              <w:t>本项最高得2分。</w:t>
            </w:r>
          </w:p>
          <w:p w14:paraId="32418670">
            <w:pPr>
              <w:pStyle w:val="5"/>
              <w:keepNext w:val="0"/>
              <w:keepLines w:val="0"/>
              <w:pageBreakBefore w:val="0"/>
              <w:kinsoku/>
              <w:wordWrap/>
              <w:overflowPunct/>
              <w:topLinePunct w:val="0"/>
              <w:autoSpaceDE/>
              <w:autoSpaceDN/>
              <w:bidi w:val="0"/>
              <w:spacing w:line="300" w:lineRule="exact"/>
              <w:textAlignment w:val="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⑤拟投入本项目的垃圾站操作人员为响应供应商正式员工，</w:t>
            </w:r>
            <w:r>
              <w:rPr>
                <w:rFonts w:hint="eastAsia" w:ascii="仿宋" w:hAnsi="仿宋" w:eastAsia="仿宋" w:cs="仿宋"/>
                <w:color w:val="auto"/>
                <w:spacing w:val="0"/>
                <w:sz w:val="24"/>
                <w:szCs w:val="24"/>
                <w:highlight w:val="none"/>
                <w:lang w:val="en-US" w:eastAsia="zh-CN" w:bidi="ar"/>
              </w:rPr>
              <w:t>具有应急管理部门颁发的有限空间作业证的得2分。</w:t>
            </w:r>
            <w:r>
              <w:rPr>
                <w:rFonts w:hint="eastAsia" w:ascii="仿宋" w:hAnsi="仿宋" w:eastAsia="仿宋" w:cs="仿宋"/>
                <w:color w:val="auto"/>
                <w:sz w:val="24"/>
                <w:szCs w:val="24"/>
                <w:highlight w:val="none"/>
                <w:lang w:val="en-US" w:eastAsia="zh-CN" w:bidi="ar"/>
              </w:rPr>
              <w:t>本项最高得2分。</w:t>
            </w:r>
          </w:p>
          <w:p w14:paraId="2E36CF4F">
            <w:pPr>
              <w:pStyle w:val="5"/>
              <w:keepNext w:val="0"/>
              <w:keepLines w:val="0"/>
              <w:pageBreakBefore w:val="0"/>
              <w:kinsoku/>
              <w:wordWrap/>
              <w:overflowPunct/>
              <w:topLinePunct w:val="0"/>
              <w:autoSpaceDE/>
              <w:autoSpaceDN/>
              <w:bidi w:val="0"/>
              <w:spacing w:line="300" w:lineRule="exact"/>
              <w:textAlignment w:val="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⑥拟投入本项目的驾驶员具有</w:t>
            </w:r>
            <w:r>
              <w:rPr>
                <w:rFonts w:hint="eastAsia" w:ascii="仿宋" w:hAnsi="仿宋" w:eastAsia="仿宋" w:cs="仿宋"/>
                <w:color w:val="auto"/>
                <w:sz w:val="24"/>
                <w:szCs w:val="24"/>
                <w:highlight w:val="none"/>
                <w:lang w:val="en-US" w:eastAsia="zh-CN"/>
              </w:rPr>
              <w:t>B</w:t>
            </w:r>
            <w:r>
              <w:rPr>
                <w:rFonts w:hint="eastAsia" w:ascii="仿宋" w:hAnsi="仿宋" w:eastAsia="仿宋" w:cs="仿宋"/>
                <w:color w:val="auto"/>
                <w:sz w:val="24"/>
                <w:szCs w:val="24"/>
                <w:highlight w:val="none"/>
              </w:rPr>
              <w:t>2照及以上驾驶</w:t>
            </w:r>
            <w:r>
              <w:rPr>
                <w:rFonts w:hint="eastAsia" w:ascii="仿宋" w:hAnsi="仿宋" w:eastAsia="仿宋" w:cs="仿宋"/>
                <w:color w:val="auto"/>
                <w:sz w:val="24"/>
                <w:szCs w:val="24"/>
                <w:highlight w:val="none"/>
                <w:lang w:val="en-US" w:eastAsia="zh-CN"/>
              </w:rPr>
              <w:t>证，具备一个得0.5分，</w:t>
            </w:r>
            <w:r>
              <w:rPr>
                <w:rFonts w:hint="eastAsia" w:ascii="仿宋" w:hAnsi="仿宋" w:eastAsia="仿宋" w:cs="仿宋"/>
                <w:color w:val="auto"/>
                <w:sz w:val="24"/>
                <w:szCs w:val="24"/>
                <w:highlight w:val="none"/>
                <w:lang w:val="en-US" w:eastAsia="zh-CN" w:bidi="ar"/>
              </w:rPr>
              <w:t>本项最高得2分。</w:t>
            </w:r>
          </w:p>
          <w:p w14:paraId="31EE6B94">
            <w:pPr>
              <w:pStyle w:val="5"/>
              <w:keepNext w:val="0"/>
              <w:keepLines w:val="0"/>
              <w:pageBreakBefore w:val="0"/>
              <w:kinsoku/>
              <w:wordWrap/>
              <w:overflowPunct/>
              <w:topLinePunct w:val="0"/>
              <w:autoSpaceDE/>
              <w:autoSpaceDN/>
              <w:bidi w:val="0"/>
              <w:spacing w:line="30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
              </w:rPr>
              <w:t>⑦拟投入本项目的装载机驾驶员具有装载机操作</w:t>
            </w:r>
            <w:r>
              <w:rPr>
                <w:rFonts w:hint="eastAsia" w:ascii="仿宋" w:hAnsi="仿宋" w:eastAsia="仿宋" w:cs="仿宋"/>
                <w:color w:val="auto"/>
                <w:sz w:val="24"/>
                <w:szCs w:val="24"/>
                <w:highlight w:val="none"/>
                <w:lang w:val="en-US" w:eastAsia="zh-CN"/>
              </w:rPr>
              <w:t>证书</w:t>
            </w:r>
            <w:r>
              <w:rPr>
                <w:rFonts w:hint="eastAsia" w:ascii="仿宋" w:hAnsi="仿宋" w:eastAsia="仿宋" w:cs="仿宋"/>
                <w:color w:val="auto"/>
                <w:spacing w:val="0"/>
                <w:sz w:val="24"/>
                <w:szCs w:val="24"/>
                <w:highlight w:val="none"/>
                <w:lang w:val="en-US" w:eastAsia="zh-CN" w:bidi="ar"/>
              </w:rPr>
              <w:t>得2分。</w:t>
            </w:r>
            <w:r>
              <w:rPr>
                <w:rFonts w:hint="eastAsia" w:ascii="仿宋" w:hAnsi="仿宋" w:eastAsia="仿宋" w:cs="仿宋"/>
                <w:color w:val="auto"/>
                <w:sz w:val="24"/>
                <w:szCs w:val="24"/>
                <w:highlight w:val="none"/>
                <w:lang w:val="en-US" w:eastAsia="zh-CN" w:bidi="ar"/>
              </w:rPr>
              <w:t>本项最高得2分。</w:t>
            </w:r>
          </w:p>
          <w:p w14:paraId="7C76A19A">
            <w:pPr>
              <w:pStyle w:val="5"/>
              <w:keepNext w:val="0"/>
              <w:keepLines w:val="0"/>
              <w:pageBreakBefore w:val="0"/>
              <w:kinsoku/>
              <w:wordWrap/>
              <w:overflowPunct/>
              <w:topLinePunct w:val="0"/>
              <w:autoSpaceDE/>
              <w:autoSpaceDN/>
              <w:bidi w:val="0"/>
              <w:spacing w:line="300" w:lineRule="exac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bidi="ar"/>
              </w:rPr>
              <w:t>响应文件中提供相关证书、驾驶证或操作证、及响应文件提交截止日前最近1个月响应供应商为其缴纳社保的证明；新成立企业距响应文件提交截止日期不足30日的，可不提供缴纳社保的证明（以新办企业营业执照发放日期为准）。</w:t>
            </w:r>
          </w:p>
          <w:p w14:paraId="39F039DC">
            <w:pPr>
              <w:keepNext w:val="0"/>
              <w:keepLines w:val="0"/>
              <w:pageBreakBefore w:val="0"/>
              <w:widowControl/>
              <w:suppressLineNumbers w:val="0"/>
              <w:kinsoku/>
              <w:wordWrap/>
              <w:overflowPunct/>
              <w:topLinePunct w:val="0"/>
              <w:autoSpaceDE/>
              <w:autoSpaceDN/>
              <w:bidi w:val="0"/>
              <w:spacing w:before="0" w:beforeAutospacing="0" w:after="0" w:afterAutospacing="0" w:line="300" w:lineRule="exact"/>
              <w:ind w:left="0" w:leftChars="0" w:right="0" w:rightChars="0" w:firstLine="482" w:firstLineChars="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bCs/>
                <w:color w:val="auto"/>
                <w:sz w:val="24"/>
                <w:szCs w:val="24"/>
                <w:highlight w:val="none"/>
                <w:u w:val="none"/>
                <w:lang w:val="en-US" w:eastAsia="zh-CN" w:bidi="ar"/>
              </w:rPr>
              <w:t>注：以上人员不得兼任，</w:t>
            </w:r>
            <w:r>
              <w:rPr>
                <w:rFonts w:hint="eastAsia" w:ascii="仿宋" w:hAnsi="仿宋" w:eastAsia="仿宋" w:cs="仿宋"/>
                <w:b/>
                <w:color w:val="auto"/>
                <w:sz w:val="24"/>
                <w:szCs w:val="24"/>
                <w:highlight w:val="none"/>
                <w:u w:val="none"/>
                <w:lang w:val="en-US" w:eastAsia="zh-CN"/>
              </w:rPr>
              <w:t>成交</w:t>
            </w:r>
            <w:r>
              <w:rPr>
                <w:rFonts w:hint="eastAsia" w:ascii="仿宋" w:hAnsi="仿宋" w:eastAsia="仿宋" w:cs="仿宋"/>
                <w:b/>
                <w:color w:val="auto"/>
                <w:sz w:val="24"/>
                <w:szCs w:val="24"/>
                <w:highlight w:val="none"/>
                <w:u w:val="none"/>
              </w:rPr>
              <w:t>后确保以上拟派人员服务于本项目，提供承诺函（格式自拟），否则本项不得分。</w:t>
            </w:r>
          </w:p>
        </w:tc>
        <w:tc>
          <w:tcPr>
            <w:tcW w:w="779" w:type="dxa"/>
          </w:tcPr>
          <w:p w14:paraId="50A712C8">
            <w:pPr>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ascii="仿宋" w:hAnsi="仿宋" w:eastAsia="仿宋" w:cs="仿宋"/>
                <w:color w:val="auto"/>
                <w:sz w:val="24"/>
                <w:szCs w:val="24"/>
                <w:highlight w:val="none"/>
              </w:rPr>
            </w:pPr>
          </w:p>
        </w:tc>
      </w:tr>
      <w:tr w14:paraId="182F41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shd w:val="clear" w:color="auto" w:fill="auto"/>
            <w:vAlign w:val="center"/>
          </w:tcPr>
          <w:p w14:paraId="443E2344">
            <w:pPr>
              <w:keepNext w:val="0"/>
              <w:keepLines w:val="0"/>
              <w:pageBreakBefore w:val="0"/>
              <w:widowControl/>
              <w:kinsoku/>
              <w:wordWrap/>
              <w:overflowPunct/>
              <w:topLinePunct w:val="0"/>
              <w:autoSpaceDE/>
              <w:autoSpaceDN/>
              <w:bidi w:val="0"/>
              <w:spacing w:line="3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10</w:t>
            </w:r>
          </w:p>
        </w:tc>
        <w:tc>
          <w:tcPr>
            <w:tcW w:w="1293" w:type="dxa"/>
            <w:shd w:val="clear" w:color="auto" w:fill="auto"/>
            <w:vAlign w:val="center"/>
          </w:tcPr>
          <w:p w14:paraId="2DA5B4F5">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lang w:val="en-US" w:eastAsia="zh-CN" w:bidi="ar"/>
              </w:rPr>
              <w:t>设备配置</w:t>
            </w:r>
          </w:p>
        </w:tc>
        <w:tc>
          <w:tcPr>
            <w:tcW w:w="1050" w:type="dxa"/>
            <w:shd w:val="clear" w:color="auto" w:fill="auto"/>
            <w:vAlign w:val="center"/>
          </w:tcPr>
          <w:p w14:paraId="7275A2F5">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lang w:val="en-US" w:eastAsia="zh-CN" w:bidi="ar"/>
              </w:rPr>
              <w:t>14</w:t>
            </w:r>
          </w:p>
        </w:tc>
        <w:tc>
          <w:tcPr>
            <w:tcW w:w="5756" w:type="dxa"/>
            <w:shd w:val="clear" w:color="auto" w:fill="auto"/>
            <w:vAlign w:val="center"/>
          </w:tcPr>
          <w:p w14:paraId="483607A4">
            <w:pPr>
              <w:keepNext w:val="0"/>
              <w:keepLines w:val="0"/>
              <w:pageBreakBefore w:val="0"/>
              <w:widowControl/>
              <w:suppressLineNumbers w:val="0"/>
              <w:shd w:val="clear"/>
              <w:kinsoku/>
              <w:wordWrap/>
              <w:overflowPunct/>
              <w:topLinePunct w:val="0"/>
              <w:autoSpaceDE/>
              <w:autoSpaceDN/>
              <w:bidi w:val="0"/>
              <w:spacing w:before="0" w:beforeAutospacing="0" w:after="0" w:afterAutospacing="0" w:line="30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响应供应商拟投入自有以下设备并承诺成交后用于本项目（在响应文件相关承诺中提供承诺书，格式自拟）：</w:t>
            </w:r>
          </w:p>
          <w:p w14:paraId="1C9E9503">
            <w:pPr>
              <w:keepNext w:val="0"/>
              <w:keepLines w:val="0"/>
              <w:pageBreakBefore w:val="0"/>
              <w:kinsoku/>
              <w:wordWrap/>
              <w:overflowPunct/>
              <w:topLinePunct w:val="0"/>
              <w:autoSpaceDE/>
              <w:autoSpaceDN/>
              <w:bidi w:val="0"/>
              <w:spacing w:line="3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1.总质量16吨及以上非营运</w:t>
            </w:r>
            <w:r>
              <w:rPr>
                <w:rFonts w:hint="eastAsia" w:ascii="仿宋" w:hAnsi="仿宋" w:eastAsia="仿宋" w:cs="仿宋"/>
                <w:color w:val="auto"/>
                <w:sz w:val="24"/>
                <w:szCs w:val="24"/>
                <w:highlight w:val="none"/>
                <w:lang w:val="en-US" w:eastAsia="zh-CN" w:bidi="ar"/>
              </w:rPr>
              <w:t>重型自卸货车</w:t>
            </w:r>
            <w:r>
              <w:rPr>
                <w:rFonts w:hint="eastAsia" w:ascii="仿宋" w:hAnsi="仿宋" w:eastAsia="仿宋" w:cs="仿宋"/>
                <w:color w:val="auto"/>
                <w:sz w:val="24"/>
                <w:szCs w:val="24"/>
                <w:highlight w:val="none"/>
                <w:lang w:val="en-US" w:eastAsia="zh-CN"/>
              </w:rPr>
              <w:t>有1辆得2分，本项最高得4分。</w:t>
            </w:r>
          </w:p>
          <w:p w14:paraId="4E4E6D68">
            <w:pPr>
              <w:keepNext w:val="0"/>
              <w:keepLines w:val="0"/>
              <w:pageBreakBefore w:val="0"/>
              <w:widowControl/>
              <w:suppressLineNumbers w:val="0"/>
              <w:shd w:val="clear"/>
              <w:kinsoku/>
              <w:wordWrap/>
              <w:overflowPunct/>
              <w:topLinePunct w:val="0"/>
              <w:autoSpaceDE/>
              <w:autoSpaceDN/>
              <w:bidi w:val="0"/>
              <w:spacing w:before="0" w:beforeAutospacing="0" w:after="0" w:afterAutospacing="0" w:line="300" w:lineRule="exact"/>
              <w:ind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2.总质量18吨及以上非营运</w:t>
            </w:r>
            <w:r>
              <w:rPr>
                <w:rFonts w:hint="eastAsia" w:ascii="仿宋" w:hAnsi="仿宋" w:eastAsia="仿宋" w:cs="仿宋"/>
                <w:color w:val="auto"/>
                <w:sz w:val="24"/>
                <w:szCs w:val="24"/>
                <w:highlight w:val="none"/>
              </w:rPr>
              <w:t>车厢可卸式垃圾车</w:t>
            </w:r>
            <w:r>
              <w:rPr>
                <w:rFonts w:hint="eastAsia" w:ascii="仿宋" w:hAnsi="仿宋" w:eastAsia="仿宋" w:cs="仿宋"/>
                <w:color w:val="auto"/>
                <w:sz w:val="24"/>
                <w:szCs w:val="24"/>
                <w:highlight w:val="none"/>
                <w:lang w:val="en-US" w:eastAsia="zh-CN" w:bidi="ar"/>
              </w:rPr>
              <w:t>有1辆得2分，本项最高得2分。</w:t>
            </w:r>
          </w:p>
          <w:p w14:paraId="5550660B">
            <w:pPr>
              <w:keepNext w:val="0"/>
              <w:keepLines w:val="0"/>
              <w:pageBreakBefore w:val="0"/>
              <w:widowControl/>
              <w:suppressLineNumbers w:val="0"/>
              <w:shd w:val="clear"/>
              <w:kinsoku/>
              <w:wordWrap/>
              <w:overflowPunct/>
              <w:topLinePunct w:val="0"/>
              <w:autoSpaceDE/>
              <w:autoSpaceDN/>
              <w:bidi w:val="0"/>
              <w:spacing w:before="0" w:beforeAutospacing="0" w:after="0" w:afterAutospacing="0" w:line="300" w:lineRule="exact"/>
              <w:ind w:right="0" w:firstLine="480" w:firstLineChars="200"/>
              <w:jc w:val="left"/>
              <w:textAlignment w:val="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3.总质量11吨及以上清洗吸污车有1辆得2分，本项最高得2分。</w:t>
            </w:r>
          </w:p>
          <w:p w14:paraId="590345B5">
            <w:pPr>
              <w:pStyle w:val="26"/>
              <w:keepNext w:val="0"/>
              <w:keepLines w:val="0"/>
              <w:pageBreakBefore w:val="0"/>
              <w:kinsoku/>
              <w:wordWrap/>
              <w:overflowPunct/>
              <w:topLinePunct w:val="0"/>
              <w:autoSpaceDE/>
              <w:autoSpaceDN/>
              <w:bidi w:val="0"/>
              <w:spacing w:line="300" w:lineRule="exact"/>
              <w:ind w:left="0" w:leftChars="0" w:firstLine="480" w:firstLineChars="200"/>
              <w:textAlignment w:val="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4.自有污水应急处理设备（一体化污水处理设备，日处理量不低于20T）得2分。本项最高得2分。</w:t>
            </w:r>
          </w:p>
          <w:p w14:paraId="1CA9DE3D">
            <w:pPr>
              <w:pStyle w:val="26"/>
              <w:keepNext w:val="0"/>
              <w:keepLines w:val="0"/>
              <w:pageBreakBefore w:val="0"/>
              <w:kinsoku/>
              <w:wordWrap/>
              <w:overflowPunct/>
              <w:topLinePunct w:val="0"/>
              <w:autoSpaceDE/>
              <w:autoSpaceDN/>
              <w:bidi w:val="0"/>
              <w:spacing w:line="300" w:lineRule="exact"/>
              <w:ind w:left="0" w:leftChars="0" w:firstLine="480" w:firstLineChars="200"/>
              <w:textAlignment w:val="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5.自有移动式垃圾压缩机有1台得2分。本项最高得2分。</w:t>
            </w:r>
          </w:p>
          <w:p w14:paraId="3BADE39F">
            <w:pPr>
              <w:keepNext w:val="0"/>
              <w:keepLines w:val="0"/>
              <w:pageBreakBefore w:val="0"/>
              <w:widowControl/>
              <w:suppressLineNumbers w:val="0"/>
              <w:shd w:val="clear"/>
              <w:kinsoku/>
              <w:wordWrap/>
              <w:overflowPunct/>
              <w:topLinePunct w:val="0"/>
              <w:autoSpaceDE/>
              <w:autoSpaceDN/>
              <w:bidi w:val="0"/>
              <w:spacing w:before="0" w:beforeAutospacing="0" w:after="0" w:afterAutospacing="0" w:line="300" w:lineRule="exact"/>
              <w:ind w:right="0" w:firstLine="480" w:firstLineChars="200"/>
              <w:jc w:val="left"/>
              <w:textAlignment w:val="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6自有装载机有1辆得2分，本项最高得2分。</w:t>
            </w:r>
          </w:p>
          <w:p w14:paraId="314B0B53">
            <w:pPr>
              <w:keepNext w:val="0"/>
              <w:keepLines w:val="0"/>
              <w:pageBreakBefore w:val="0"/>
              <w:shd w:val="clear"/>
              <w:kinsoku/>
              <w:wordWrap/>
              <w:overflowPunct/>
              <w:topLinePunct w:val="0"/>
              <w:autoSpaceDE/>
              <w:autoSpaceDN/>
              <w:bidi w:val="0"/>
              <w:spacing w:line="300" w:lineRule="exact"/>
              <w:ind w:firstLine="482" w:firstLineChars="200"/>
              <w:textAlignment w:val="auto"/>
              <w:rPr>
                <w:rFonts w:hint="eastAsia" w:ascii="仿宋" w:hAnsi="仿宋" w:eastAsia="仿宋" w:cs="仿宋"/>
                <w:b/>
                <w:color w:val="auto"/>
                <w:kern w:val="2"/>
                <w:sz w:val="24"/>
                <w:szCs w:val="24"/>
                <w:highlight w:val="none"/>
                <w:u w:val="single"/>
                <w:lang w:val="en-US" w:eastAsia="zh-CN" w:bidi="ar-SA"/>
              </w:rPr>
            </w:pPr>
            <w:r>
              <w:rPr>
                <w:rFonts w:hint="eastAsia" w:ascii="仿宋" w:hAnsi="仿宋" w:eastAsia="仿宋" w:cs="仿宋"/>
                <w:b/>
                <w:bCs/>
                <w:color w:val="auto"/>
                <w:sz w:val="24"/>
                <w:szCs w:val="24"/>
                <w:highlight w:val="none"/>
                <w:lang w:val="en-US" w:eastAsia="zh-CN" w:bidi="ar"/>
              </w:rPr>
              <w:t>注：提供车辆有效登记证（登记日期须在项目开标之前）、行驶证、保险单据、购置发票、车辆带牌照的清晰照片；一体化污水处理设备、移动式垃圾压缩机提供购置发票、合同及照片；装载机提供购置发票及照片。以上须提供相关证明材料扫描件并加盖公章，非自有、不提供或提供不全不得分。</w:t>
            </w:r>
          </w:p>
        </w:tc>
        <w:tc>
          <w:tcPr>
            <w:tcW w:w="779" w:type="dxa"/>
          </w:tcPr>
          <w:p w14:paraId="4CD4DAD4">
            <w:pPr>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ascii="仿宋" w:hAnsi="仿宋" w:eastAsia="仿宋" w:cs="仿宋"/>
                <w:color w:val="auto"/>
                <w:sz w:val="24"/>
                <w:szCs w:val="24"/>
                <w:highlight w:val="none"/>
              </w:rPr>
            </w:pPr>
          </w:p>
        </w:tc>
      </w:tr>
      <w:tr w14:paraId="48E7B3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shd w:val="clear" w:color="auto" w:fill="auto"/>
            <w:vAlign w:val="center"/>
          </w:tcPr>
          <w:p w14:paraId="7507184F">
            <w:pPr>
              <w:keepNext w:val="0"/>
              <w:keepLines w:val="0"/>
              <w:pageBreakBefore w:val="0"/>
              <w:widowControl/>
              <w:kinsoku/>
              <w:wordWrap/>
              <w:overflowPunct/>
              <w:topLinePunct w:val="0"/>
              <w:autoSpaceDE/>
              <w:autoSpaceDN/>
              <w:bidi w:val="0"/>
              <w:spacing w:line="300" w:lineRule="exact"/>
              <w:jc w:val="center"/>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11</w:t>
            </w:r>
          </w:p>
        </w:tc>
        <w:tc>
          <w:tcPr>
            <w:tcW w:w="1293" w:type="dxa"/>
            <w:shd w:val="clear" w:color="auto" w:fill="auto"/>
            <w:vAlign w:val="center"/>
          </w:tcPr>
          <w:p w14:paraId="72F917D9">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lang w:val="en-US" w:eastAsia="zh-CN" w:bidi="ar"/>
              </w:rPr>
              <w:t>服务承诺</w:t>
            </w:r>
          </w:p>
        </w:tc>
        <w:tc>
          <w:tcPr>
            <w:tcW w:w="1050" w:type="dxa"/>
            <w:shd w:val="clear" w:color="auto" w:fill="auto"/>
            <w:vAlign w:val="center"/>
          </w:tcPr>
          <w:p w14:paraId="49BEC83D">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leftChars="0" w:right="0" w:rightChars="0"/>
              <w:jc w:val="center"/>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lang w:val="en-US" w:eastAsia="zh-CN" w:bidi="ar"/>
              </w:rPr>
              <w:t>2</w:t>
            </w:r>
          </w:p>
        </w:tc>
        <w:tc>
          <w:tcPr>
            <w:tcW w:w="5756" w:type="dxa"/>
            <w:shd w:val="clear" w:color="auto" w:fill="auto"/>
            <w:vAlign w:val="center"/>
          </w:tcPr>
          <w:p w14:paraId="448D8F58">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480" w:firstLineChars="200"/>
              <w:jc w:val="left"/>
              <w:textAlignment w:val="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响应供应商需根据项目需求，提供针对本项目的服务作出承诺，包括但不限于：</w:t>
            </w:r>
          </w:p>
          <w:p w14:paraId="3068BE6F">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480" w:firstLineChars="200"/>
              <w:jc w:val="left"/>
              <w:textAlignment w:val="auto"/>
              <w:rPr>
                <w:rFonts w:hint="eastAsia" w:ascii="仿宋" w:hAnsi="仿宋" w:eastAsia="仿宋" w:cs="仿宋"/>
                <w:color w:val="auto"/>
                <w:sz w:val="24"/>
                <w:szCs w:val="24"/>
                <w:highlight w:val="none"/>
                <w:lang w:eastAsia="zh-CN" w:bidi="ar"/>
              </w:rPr>
            </w:pPr>
            <w:r>
              <w:rPr>
                <w:rFonts w:hint="eastAsia" w:ascii="仿宋" w:hAnsi="仿宋" w:eastAsia="仿宋" w:cs="仿宋"/>
                <w:color w:val="auto"/>
                <w:sz w:val="24"/>
                <w:szCs w:val="24"/>
                <w:highlight w:val="none"/>
                <w:lang w:val="en-US" w:eastAsia="zh-CN" w:bidi="ar"/>
              </w:rPr>
              <w:t>（1）</w:t>
            </w:r>
            <w:r>
              <w:rPr>
                <w:rFonts w:hint="eastAsia" w:ascii="仿宋" w:hAnsi="仿宋" w:eastAsia="仿宋" w:cs="仿宋"/>
                <w:color w:val="auto"/>
                <w:sz w:val="24"/>
                <w:szCs w:val="24"/>
                <w:highlight w:val="none"/>
              </w:rPr>
              <w:t>服务质量承诺</w:t>
            </w:r>
            <w:r>
              <w:rPr>
                <w:rFonts w:hint="eastAsia" w:ascii="仿宋" w:hAnsi="仿宋" w:eastAsia="仿宋" w:cs="仿宋"/>
                <w:color w:val="auto"/>
                <w:sz w:val="24"/>
                <w:szCs w:val="24"/>
                <w:highlight w:val="none"/>
                <w:lang w:eastAsia="zh-CN" w:bidi="ar"/>
              </w:rPr>
              <w:t>；</w:t>
            </w:r>
          </w:p>
          <w:p w14:paraId="026ADEC1">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480" w:firstLineChars="200"/>
              <w:jc w:val="left"/>
              <w:textAlignment w:val="auto"/>
              <w:rPr>
                <w:rFonts w:hint="eastAsia" w:ascii="仿宋" w:hAnsi="仿宋" w:eastAsia="仿宋" w:cs="仿宋"/>
                <w:color w:val="auto"/>
                <w:sz w:val="24"/>
                <w:szCs w:val="24"/>
                <w:highlight w:val="none"/>
                <w:lang w:eastAsia="zh-CN" w:bidi="ar"/>
              </w:rPr>
            </w:pPr>
            <w:r>
              <w:rPr>
                <w:rFonts w:hint="eastAsia" w:ascii="仿宋" w:hAnsi="仿宋" w:eastAsia="仿宋" w:cs="仿宋"/>
                <w:color w:val="auto"/>
                <w:sz w:val="24"/>
                <w:szCs w:val="24"/>
                <w:highlight w:val="none"/>
                <w:lang w:eastAsia="zh-CN" w:bidi="ar"/>
              </w:rPr>
              <w:t>（2）</w:t>
            </w:r>
            <w:r>
              <w:rPr>
                <w:rFonts w:hint="eastAsia" w:ascii="仿宋" w:hAnsi="仿宋" w:eastAsia="仿宋" w:cs="仿宋"/>
                <w:color w:val="auto"/>
                <w:sz w:val="24"/>
                <w:szCs w:val="24"/>
                <w:highlight w:val="none"/>
              </w:rPr>
              <w:t>对发生各类安全事故善后处理承诺</w:t>
            </w:r>
            <w:r>
              <w:rPr>
                <w:rFonts w:hint="eastAsia" w:ascii="仿宋" w:hAnsi="仿宋" w:eastAsia="仿宋" w:cs="仿宋"/>
                <w:color w:val="auto"/>
                <w:sz w:val="24"/>
                <w:szCs w:val="24"/>
                <w:highlight w:val="none"/>
                <w:lang w:eastAsia="zh-CN" w:bidi="ar"/>
              </w:rPr>
              <w:t>；</w:t>
            </w:r>
          </w:p>
          <w:p w14:paraId="040F4970">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right="0" w:firstLine="480" w:firstLineChars="200"/>
              <w:jc w:val="left"/>
              <w:textAlignment w:val="auto"/>
              <w:rPr>
                <w:rFonts w:hint="eastAsia" w:ascii="仿宋" w:hAnsi="仿宋" w:eastAsia="仿宋" w:cs="仿宋"/>
                <w:color w:val="auto"/>
                <w:sz w:val="24"/>
                <w:szCs w:val="24"/>
                <w:highlight w:val="none"/>
                <w:lang w:eastAsia="zh-CN" w:bidi="ar"/>
              </w:rPr>
            </w:pPr>
            <w:r>
              <w:rPr>
                <w:rFonts w:hint="eastAsia" w:ascii="仿宋" w:hAnsi="仿宋" w:eastAsia="仿宋" w:cs="仿宋"/>
                <w:color w:val="auto"/>
                <w:sz w:val="24"/>
                <w:szCs w:val="24"/>
                <w:highlight w:val="none"/>
                <w:lang w:eastAsia="zh-CN" w:bidi="ar"/>
              </w:rPr>
              <w:t>（3）</w:t>
            </w:r>
            <w:r>
              <w:rPr>
                <w:rFonts w:hint="eastAsia" w:ascii="仿宋" w:hAnsi="仿宋" w:eastAsia="仿宋" w:cs="仿宋"/>
                <w:color w:val="auto"/>
                <w:sz w:val="24"/>
                <w:szCs w:val="24"/>
                <w:highlight w:val="none"/>
              </w:rPr>
              <w:t>依法规范用工承诺</w:t>
            </w:r>
            <w:r>
              <w:rPr>
                <w:rFonts w:hint="eastAsia" w:ascii="仿宋" w:hAnsi="仿宋" w:eastAsia="仿宋" w:cs="仿宋"/>
                <w:color w:val="auto"/>
                <w:sz w:val="24"/>
                <w:szCs w:val="24"/>
                <w:highlight w:val="none"/>
                <w:lang w:eastAsia="zh-CN" w:bidi="ar"/>
              </w:rPr>
              <w:t>；</w:t>
            </w:r>
          </w:p>
          <w:p w14:paraId="6B92ABBE">
            <w:pPr>
              <w:keepNext w:val="0"/>
              <w:keepLines w:val="0"/>
              <w:pageBreakBefore w:val="0"/>
              <w:kinsoku/>
              <w:wordWrap/>
              <w:overflowPunct/>
              <w:topLinePunct w:val="0"/>
              <w:autoSpaceDE/>
              <w:autoSpaceDN/>
              <w:bidi w:val="0"/>
              <w:spacing w:line="300" w:lineRule="exact"/>
              <w:ind w:firstLine="480" w:firstLineChars="200"/>
              <w:textAlignment w:val="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eastAsia="zh-CN" w:bidi="no"/>
              </w:rPr>
              <w:t>（4）</w:t>
            </w:r>
            <w:r>
              <w:rPr>
                <w:rFonts w:hint="eastAsia" w:ascii="仿宋" w:hAnsi="仿宋" w:eastAsia="仿宋" w:cs="仿宋"/>
                <w:color w:val="auto"/>
                <w:sz w:val="24"/>
                <w:szCs w:val="24"/>
                <w:highlight w:val="none"/>
              </w:rPr>
              <w:t>应对履约期内各类风险承诺</w:t>
            </w:r>
            <w:r>
              <w:rPr>
                <w:rFonts w:hint="eastAsia" w:ascii="仿宋" w:hAnsi="仿宋" w:eastAsia="仿宋" w:cs="仿宋"/>
                <w:color w:val="auto"/>
                <w:sz w:val="24"/>
                <w:szCs w:val="24"/>
                <w:highlight w:val="none"/>
                <w:lang w:val="en-US" w:eastAsia="zh-CN" w:bidi="ar"/>
              </w:rPr>
              <w:t>等。</w:t>
            </w:r>
          </w:p>
          <w:p w14:paraId="74BE1744">
            <w:pPr>
              <w:keepNext w:val="0"/>
              <w:keepLines w:val="0"/>
              <w:pageBreakBefore w:val="0"/>
              <w:widowControl w:val="0"/>
              <w:suppressLineNumbers w:val="0"/>
              <w:kinsoku/>
              <w:wordWrap/>
              <w:overflowPunct/>
              <w:topLinePunct w:val="0"/>
              <w:autoSpaceDE/>
              <w:autoSpaceDN/>
              <w:bidi w:val="0"/>
              <w:spacing w:before="0" w:beforeAutospacing="0" w:after="0" w:afterAutospacing="0" w:line="300" w:lineRule="exact"/>
              <w:ind w:left="0" w:leftChars="0" w:right="0" w:rightChars="0" w:firstLine="482" w:firstLineChars="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
              </w:rPr>
              <w:t>上述4个承诺内容能够适用于本项目实际，每缺少一项内容扣0.5分，扣完为止。本项最多得2分。</w:t>
            </w:r>
          </w:p>
        </w:tc>
        <w:tc>
          <w:tcPr>
            <w:tcW w:w="779" w:type="dxa"/>
          </w:tcPr>
          <w:p w14:paraId="3CA06DF1">
            <w:pPr>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ascii="仿宋" w:hAnsi="仿宋" w:eastAsia="仿宋" w:cs="仿宋"/>
                <w:color w:val="auto"/>
                <w:sz w:val="24"/>
                <w:szCs w:val="24"/>
                <w:highlight w:val="none"/>
              </w:rPr>
            </w:pPr>
          </w:p>
        </w:tc>
      </w:tr>
      <w:tr w14:paraId="5AB526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92" w:type="dxa"/>
            <w:vAlign w:val="center"/>
          </w:tcPr>
          <w:p w14:paraId="2E886EC8">
            <w:pPr>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1293" w:type="dxa"/>
            <w:vAlign w:val="center"/>
          </w:tcPr>
          <w:p w14:paraId="0217430F">
            <w:pPr>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价格</w:t>
            </w:r>
          </w:p>
        </w:tc>
        <w:tc>
          <w:tcPr>
            <w:tcW w:w="1050" w:type="dxa"/>
            <w:vAlign w:val="center"/>
          </w:tcPr>
          <w:p w14:paraId="6BDEC35E">
            <w:pPr>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5756" w:type="dxa"/>
            <w:vAlign w:val="center"/>
          </w:tcPr>
          <w:p w14:paraId="7185DD17">
            <w:pPr>
              <w:keepNext w:val="0"/>
              <w:keepLines w:val="0"/>
              <w:pageBreakBefore w:val="0"/>
              <w:kinsoku/>
              <w:wordWrap/>
              <w:overflowPunct/>
              <w:topLinePunct w:val="0"/>
              <w:autoSpaceDE/>
              <w:autoSpaceDN/>
              <w:bidi w:val="0"/>
              <w:adjustRightInd w:val="0"/>
              <w:snapToGrid w:val="0"/>
              <w:spacing w:line="30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价格分采用低价优先法计算，即满足磋商文件要求且最后报价中最低报价为评审基准价，其价格分为满分。其他响应供应商的价格分统一按照下列公式计算：</w:t>
            </w:r>
          </w:p>
          <w:p w14:paraId="383A620A">
            <w:pPr>
              <w:keepNext w:val="0"/>
              <w:keepLines w:val="0"/>
              <w:pageBreakBefore w:val="0"/>
              <w:kinsoku/>
              <w:wordWrap/>
              <w:overflowPunct/>
              <w:topLinePunct w:val="0"/>
              <w:autoSpaceDE/>
              <w:autoSpaceDN/>
              <w:bidi w:val="0"/>
              <w:adjustRightInd w:val="0"/>
              <w:snapToGrid w:val="0"/>
              <w:spacing w:line="30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最后报价得分=(评审基准价／最后报价)×价格分分值</w:t>
            </w:r>
          </w:p>
          <w:p w14:paraId="15FD5301">
            <w:pPr>
              <w:keepNext w:val="0"/>
              <w:keepLines w:val="0"/>
              <w:pageBreakBefore w:val="0"/>
              <w:kinsoku/>
              <w:wordWrap/>
              <w:overflowPunct/>
              <w:topLinePunct w:val="0"/>
              <w:autoSpaceDE/>
              <w:autoSpaceDN/>
              <w:bidi w:val="0"/>
              <w:adjustRightInd w:val="0"/>
              <w:snapToGrid w:val="0"/>
              <w:spacing w:line="30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磋商过程中，不得去掉报价中的最高报价和最低报价。因落实政府采购政策进行价格调整的，以调整后的价格计算评审基准价和最后报价。</w:t>
            </w:r>
          </w:p>
        </w:tc>
        <w:tc>
          <w:tcPr>
            <w:tcW w:w="779" w:type="dxa"/>
          </w:tcPr>
          <w:p w14:paraId="2299E54E">
            <w:pPr>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ascii="仿宋" w:hAnsi="仿宋" w:eastAsia="仿宋" w:cs="仿宋"/>
                <w:color w:val="auto"/>
                <w:sz w:val="24"/>
                <w:szCs w:val="24"/>
                <w:highlight w:val="none"/>
              </w:rPr>
            </w:pPr>
          </w:p>
        </w:tc>
      </w:tr>
      <w:tr w14:paraId="6FF66C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1985" w:type="dxa"/>
            <w:gridSpan w:val="2"/>
            <w:vAlign w:val="center"/>
          </w:tcPr>
          <w:p w14:paraId="2200EC24">
            <w:pPr>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合计</w:t>
            </w:r>
          </w:p>
        </w:tc>
        <w:tc>
          <w:tcPr>
            <w:tcW w:w="1050" w:type="dxa"/>
            <w:vAlign w:val="center"/>
          </w:tcPr>
          <w:p w14:paraId="10BF2897">
            <w:pPr>
              <w:keepNext w:val="0"/>
              <w:keepLines w:val="0"/>
              <w:pageBreakBefore w:val="0"/>
              <w:kinsoku/>
              <w:wordWrap/>
              <w:overflowPunct/>
              <w:topLinePunct w:val="0"/>
              <w:autoSpaceDE/>
              <w:autoSpaceDN/>
              <w:bidi w:val="0"/>
              <w:adjustRightInd w:val="0"/>
              <w:snapToGrid w:val="0"/>
              <w:spacing w:line="30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100</w:t>
            </w:r>
          </w:p>
        </w:tc>
        <w:tc>
          <w:tcPr>
            <w:tcW w:w="5756" w:type="dxa"/>
            <w:vAlign w:val="center"/>
          </w:tcPr>
          <w:p w14:paraId="299F563A">
            <w:pPr>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ascii="仿宋" w:hAnsi="仿宋" w:eastAsia="仿宋" w:cs="仿宋"/>
                <w:color w:val="auto"/>
                <w:sz w:val="24"/>
                <w:szCs w:val="24"/>
                <w:highlight w:val="none"/>
              </w:rPr>
            </w:pPr>
          </w:p>
        </w:tc>
        <w:tc>
          <w:tcPr>
            <w:tcW w:w="779" w:type="dxa"/>
          </w:tcPr>
          <w:p w14:paraId="091098BE">
            <w:pPr>
              <w:keepNext w:val="0"/>
              <w:keepLines w:val="0"/>
              <w:pageBreakBefore w:val="0"/>
              <w:kinsoku/>
              <w:wordWrap/>
              <w:overflowPunct/>
              <w:topLinePunct w:val="0"/>
              <w:autoSpaceDE/>
              <w:autoSpaceDN/>
              <w:bidi w:val="0"/>
              <w:adjustRightInd w:val="0"/>
              <w:snapToGrid w:val="0"/>
              <w:spacing w:line="300" w:lineRule="exact"/>
              <w:jc w:val="center"/>
              <w:textAlignment w:val="auto"/>
              <w:rPr>
                <w:rFonts w:hint="eastAsia" w:ascii="仿宋" w:hAnsi="仿宋" w:eastAsia="仿宋" w:cs="仿宋"/>
                <w:color w:val="auto"/>
                <w:sz w:val="24"/>
                <w:szCs w:val="24"/>
                <w:highlight w:val="none"/>
              </w:rPr>
            </w:pPr>
          </w:p>
        </w:tc>
      </w:tr>
    </w:tbl>
    <w:p w14:paraId="1C4EE0B1">
      <w:pPr>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备注：</w:t>
      </w:r>
    </w:p>
    <w:p w14:paraId="2593A983">
      <w:pPr>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1.上述</w:t>
      </w:r>
      <w:r>
        <w:rPr>
          <w:rFonts w:hint="eastAsia" w:ascii="仿宋" w:hAnsi="仿宋" w:eastAsia="仿宋"/>
          <w:color w:val="auto"/>
          <w:sz w:val="28"/>
          <w:szCs w:val="28"/>
          <w:highlight w:val="none"/>
          <w:lang w:eastAsia="zh-CN"/>
        </w:rPr>
        <w:t>响应文件</w:t>
      </w:r>
      <w:r>
        <w:rPr>
          <w:rFonts w:hint="eastAsia" w:ascii="仿宋" w:hAnsi="仿宋" w:eastAsia="仿宋"/>
          <w:color w:val="auto"/>
          <w:sz w:val="28"/>
          <w:szCs w:val="28"/>
          <w:highlight w:val="none"/>
        </w:rPr>
        <w:t>中所提供的相关证书等证明材料如有有效期的均须在有效期内。</w:t>
      </w:r>
    </w:p>
    <w:p w14:paraId="3029EF2A">
      <w:pPr>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2.上述</w:t>
      </w:r>
      <w:r>
        <w:rPr>
          <w:rFonts w:hint="eastAsia" w:ascii="仿宋" w:hAnsi="仿宋" w:eastAsia="仿宋"/>
          <w:color w:val="auto"/>
          <w:sz w:val="28"/>
          <w:szCs w:val="28"/>
          <w:highlight w:val="none"/>
          <w:lang w:eastAsia="zh-CN"/>
        </w:rPr>
        <w:t>响应文件</w:t>
      </w:r>
      <w:r>
        <w:rPr>
          <w:rFonts w:hint="eastAsia" w:ascii="仿宋" w:hAnsi="仿宋" w:eastAsia="仿宋"/>
          <w:color w:val="auto"/>
          <w:sz w:val="28"/>
          <w:szCs w:val="28"/>
          <w:highlight w:val="none"/>
        </w:rPr>
        <w:t>中所提供的相关合同业绩、获奖证书、获奖文件、证明及报告等必须与原件一致。</w:t>
      </w:r>
      <w:r>
        <w:rPr>
          <w:rFonts w:hint="eastAsia" w:ascii="仿宋" w:hAnsi="仿宋" w:eastAsia="仿宋"/>
          <w:color w:val="auto"/>
          <w:sz w:val="28"/>
          <w:szCs w:val="28"/>
          <w:highlight w:val="none"/>
          <w:lang w:val="en-US" w:eastAsia="zh-CN"/>
        </w:rPr>
        <w:t>采购结束后，在确认采购结果之前，采购人将对成交供应商响应文件中所提供的证明文件进行核实，如发现不一致，则另行确定成交结果。</w:t>
      </w:r>
    </w:p>
    <w:p w14:paraId="5B37422B">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3.本项目商务技术评分标准中须提供的相关得分佐证材料较多，</w:t>
      </w:r>
      <w:r>
        <w:rPr>
          <w:rFonts w:hint="eastAsia" w:ascii="仿宋" w:hAnsi="仿宋" w:eastAsia="仿宋"/>
          <w:color w:val="auto"/>
          <w:sz w:val="28"/>
          <w:szCs w:val="28"/>
          <w:highlight w:val="none"/>
          <w:lang w:eastAsia="zh-CN"/>
        </w:rPr>
        <w:t>响应供应商</w:t>
      </w:r>
      <w:r>
        <w:rPr>
          <w:rFonts w:hint="eastAsia" w:ascii="仿宋" w:hAnsi="仿宋" w:eastAsia="仿宋"/>
          <w:color w:val="auto"/>
          <w:sz w:val="28"/>
          <w:szCs w:val="28"/>
          <w:highlight w:val="none"/>
        </w:rPr>
        <w:t>需有序放置于相应</w:t>
      </w:r>
      <w:r>
        <w:rPr>
          <w:rFonts w:hint="eastAsia" w:ascii="仿宋" w:hAnsi="仿宋" w:eastAsia="仿宋"/>
          <w:color w:val="auto"/>
          <w:sz w:val="28"/>
          <w:szCs w:val="28"/>
          <w:highlight w:val="none"/>
          <w:lang w:eastAsia="zh-CN"/>
        </w:rPr>
        <w:t>响应文件</w:t>
      </w:r>
      <w:r>
        <w:rPr>
          <w:rFonts w:hint="eastAsia" w:ascii="仿宋" w:hAnsi="仿宋" w:eastAsia="仿宋"/>
          <w:color w:val="auto"/>
          <w:sz w:val="28"/>
          <w:szCs w:val="28"/>
          <w:highlight w:val="none"/>
        </w:rPr>
        <w:t>中，并注明如评分点 1，评分点 2……，条理清晰，对重点部分着重标注标识，便于评委检索。若因错放，漏放造成的不得分情况由</w:t>
      </w:r>
      <w:r>
        <w:rPr>
          <w:rFonts w:hint="eastAsia" w:ascii="仿宋" w:hAnsi="仿宋" w:eastAsia="仿宋"/>
          <w:color w:val="auto"/>
          <w:sz w:val="28"/>
          <w:szCs w:val="28"/>
          <w:highlight w:val="none"/>
          <w:lang w:eastAsia="zh-CN"/>
        </w:rPr>
        <w:t>响应供应商</w:t>
      </w:r>
      <w:r>
        <w:rPr>
          <w:rFonts w:hint="eastAsia" w:ascii="仿宋" w:hAnsi="仿宋" w:eastAsia="仿宋"/>
          <w:color w:val="auto"/>
          <w:sz w:val="28"/>
          <w:szCs w:val="28"/>
          <w:highlight w:val="none"/>
        </w:rPr>
        <w:t>自行承担。</w:t>
      </w:r>
    </w:p>
    <w:p w14:paraId="72B6E1E8">
      <w:pPr>
        <w:pStyle w:val="25"/>
        <w:spacing w:line="240" w:lineRule="auto"/>
        <w:ind w:firstLine="0"/>
        <w:jc w:val="center"/>
        <w:outlineLvl w:val="0"/>
        <w:rPr>
          <w:rFonts w:ascii="方正小标宋简体" w:eastAsia="方正小标宋简体"/>
          <w:bCs/>
          <w:color w:val="auto"/>
          <w:sz w:val="32"/>
          <w:szCs w:val="32"/>
          <w:highlight w:val="none"/>
        </w:rPr>
      </w:pPr>
      <w:r>
        <w:rPr>
          <w:rFonts w:ascii="方正小标宋简体" w:eastAsia="方正小标宋简体"/>
          <w:bCs/>
          <w:color w:val="auto"/>
          <w:sz w:val="44"/>
          <w:szCs w:val="28"/>
          <w:highlight w:val="none"/>
        </w:rPr>
        <w:br w:type="page"/>
      </w:r>
      <w:bookmarkStart w:id="70" w:name="_Toc15850"/>
      <w:r>
        <w:rPr>
          <w:rFonts w:hint="eastAsia" w:ascii="方正小标宋简体" w:eastAsia="方正小标宋简体"/>
          <w:bCs/>
          <w:color w:val="auto"/>
          <w:sz w:val="32"/>
          <w:szCs w:val="32"/>
          <w:highlight w:val="none"/>
        </w:rPr>
        <w:t>第6章 竞争性磋商响应文件组成</w:t>
      </w:r>
      <w:bookmarkEnd w:id="70"/>
    </w:p>
    <w:p w14:paraId="24F55577">
      <w:pPr>
        <w:pStyle w:val="25"/>
        <w:spacing w:line="240" w:lineRule="auto"/>
        <w:ind w:firstLine="0"/>
        <w:jc w:val="center"/>
        <w:rPr>
          <w:rFonts w:ascii="方正小标宋简体" w:eastAsia="方正小标宋简体"/>
          <w:bCs/>
          <w:color w:val="auto"/>
          <w:sz w:val="32"/>
          <w:szCs w:val="32"/>
          <w:highlight w:val="none"/>
        </w:rPr>
      </w:pPr>
    </w:p>
    <w:p w14:paraId="7E13EB02">
      <w:pPr>
        <w:ind w:firstLine="880" w:firstLineChars="200"/>
        <w:jc w:val="center"/>
        <w:outlineLvl w:val="9"/>
        <w:rPr>
          <w:rFonts w:ascii="方正小标宋简体" w:hAnsi="仿宋" w:eastAsia="方正小标宋简体"/>
          <w:color w:val="auto"/>
          <w:sz w:val="44"/>
          <w:szCs w:val="44"/>
          <w:highlight w:val="none"/>
        </w:rPr>
      </w:pPr>
      <w:r>
        <w:rPr>
          <w:rFonts w:hint="eastAsia" w:ascii="方正小标宋简体" w:hAnsi="仿宋" w:eastAsia="方正小标宋简体"/>
          <w:color w:val="auto"/>
          <w:sz w:val="44"/>
          <w:szCs w:val="44"/>
          <w:highlight w:val="none"/>
        </w:rPr>
        <w:t>如皋市政府采购竞争性磋商响应文件</w:t>
      </w:r>
    </w:p>
    <w:p w14:paraId="5182D641">
      <w:pPr>
        <w:ind w:firstLine="1434" w:firstLineChars="595"/>
        <w:rPr>
          <w:rFonts w:ascii="宋体" w:hAnsi="宋体"/>
          <w:b/>
          <w:color w:val="auto"/>
          <w:sz w:val="24"/>
          <w:highlight w:val="none"/>
        </w:rPr>
      </w:pPr>
    </w:p>
    <w:p w14:paraId="0FC3A50E">
      <w:pPr>
        <w:ind w:firstLine="2072" w:firstLineChars="645"/>
        <w:rPr>
          <w:rFonts w:ascii="宋体" w:hAnsi="宋体"/>
          <w:b/>
          <w:color w:val="auto"/>
          <w:sz w:val="32"/>
          <w:szCs w:val="32"/>
          <w:highlight w:val="none"/>
        </w:rPr>
      </w:pPr>
    </w:p>
    <w:p w14:paraId="5BB9364B">
      <w:pPr>
        <w:ind w:firstLine="2072" w:firstLineChars="645"/>
        <w:rPr>
          <w:rFonts w:hint="eastAsia" w:ascii="宋体" w:hAnsi="宋体"/>
          <w:b/>
          <w:color w:val="auto"/>
          <w:sz w:val="32"/>
          <w:szCs w:val="32"/>
          <w:highlight w:val="none"/>
          <w:lang w:val="en-US" w:eastAsia="zh-CN"/>
        </w:rPr>
      </w:pPr>
      <w:r>
        <w:rPr>
          <w:rFonts w:hint="eastAsia" w:ascii="宋体" w:hAnsi="宋体"/>
          <w:b/>
          <w:color w:val="auto"/>
          <w:sz w:val="32"/>
          <w:szCs w:val="32"/>
          <w:highlight w:val="none"/>
        </w:rPr>
        <w:t>项目名称：</w:t>
      </w:r>
      <w:r>
        <w:rPr>
          <w:rFonts w:hint="eastAsia" w:ascii="宋体" w:hAnsi="宋体"/>
          <w:b/>
          <w:color w:val="auto"/>
          <w:sz w:val="32"/>
          <w:szCs w:val="32"/>
          <w:highlight w:val="none"/>
          <w:lang w:val="en-US" w:eastAsia="zh-CN"/>
        </w:rPr>
        <w:t>东陈镇2026年生活垃圾转送服务</w:t>
      </w:r>
    </w:p>
    <w:p w14:paraId="0B0913F2">
      <w:pPr>
        <w:ind w:firstLine="2072" w:firstLineChars="645"/>
        <w:rPr>
          <w:rFonts w:hint="default" w:ascii="宋体" w:hAnsi="宋体" w:eastAsia="宋体"/>
          <w:b/>
          <w:color w:val="auto"/>
          <w:sz w:val="32"/>
          <w:szCs w:val="32"/>
          <w:highlight w:val="none"/>
          <w:u w:val="single"/>
          <w:lang w:val="en-US" w:eastAsia="zh-CN"/>
        </w:rPr>
      </w:pPr>
      <w:r>
        <w:rPr>
          <w:rFonts w:hint="eastAsia" w:ascii="宋体" w:hAnsi="宋体"/>
          <w:b/>
          <w:color w:val="auto"/>
          <w:sz w:val="32"/>
          <w:szCs w:val="32"/>
          <w:highlight w:val="none"/>
        </w:rPr>
        <w:t>项目编号：</w:t>
      </w:r>
      <w:r>
        <w:rPr>
          <w:rFonts w:hint="eastAsia"/>
          <w:b/>
          <w:bCs/>
          <w:color w:val="auto"/>
          <w:sz w:val="32"/>
          <w:highlight w:val="none"/>
          <w:lang w:val="en-US" w:eastAsia="zh-CN"/>
        </w:rPr>
        <w:t>JSZC-320682-NTZJ-C2026-0005</w:t>
      </w:r>
    </w:p>
    <w:p w14:paraId="567FC88A">
      <w:pPr>
        <w:jc w:val="center"/>
        <w:rPr>
          <w:rFonts w:ascii="宋体" w:hAnsi="宋体"/>
          <w:b/>
          <w:color w:val="auto"/>
          <w:sz w:val="32"/>
          <w:szCs w:val="32"/>
          <w:highlight w:val="none"/>
          <w:u w:val="single"/>
        </w:rPr>
      </w:pPr>
    </w:p>
    <w:p w14:paraId="7FCAB0FD">
      <w:pPr>
        <w:jc w:val="center"/>
        <w:rPr>
          <w:rFonts w:ascii="宋体" w:hAnsi="宋体"/>
          <w:b/>
          <w:color w:val="auto"/>
          <w:sz w:val="32"/>
          <w:szCs w:val="32"/>
          <w:highlight w:val="none"/>
          <w:u w:val="single"/>
        </w:rPr>
      </w:pPr>
    </w:p>
    <w:p w14:paraId="6946AC19">
      <w:pPr>
        <w:jc w:val="center"/>
        <w:rPr>
          <w:rFonts w:ascii="宋体" w:hAnsi="宋体"/>
          <w:b/>
          <w:color w:val="auto"/>
          <w:sz w:val="32"/>
          <w:szCs w:val="32"/>
          <w:highlight w:val="none"/>
          <w:u w:val="single"/>
        </w:rPr>
      </w:pPr>
    </w:p>
    <w:p w14:paraId="4B352E38">
      <w:pPr>
        <w:jc w:val="center"/>
        <w:rPr>
          <w:rFonts w:ascii="宋体" w:hAnsi="宋体"/>
          <w:b/>
          <w:color w:val="auto"/>
          <w:sz w:val="32"/>
          <w:szCs w:val="32"/>
          <w:highlight w:val="none"/>
          <w:u w:val="single"/>
        </w:rPr>
      </w:pPr>
    </w:p>
    <w:p w14:paraId="3286CA45">
      <w:pPr>
        <w:jc w:val="both"/>
        <w:rPr>
          <w:rFonts w:ascii="宋体" w:hAnsi="宋体"/>
          <w:b/>
          <w:color w:val="auto"/>
          <w:sz w:val="32"/>
          <w:szCs w:val="32"/>
          <w:highlight w:val="none"/>
          <w:u w:val="single"/>
        </w:rPr>
      </w:pPr>
    </w:p>
    <w:p w14:paraId="61A4455E">
      <w:pPr>
        <w:jc w:val="center"/>
        <w:rPr>
          <w:rFonts w:ascii="宋体" w:hAnsi="宋体"/>
          <w:b/>
          <w:color w:val="auto"/>
          <w:sz w:val="32"/>
          <w:szCs w:val="32"/>
          <w:highlight w:val="none"/>
          <w:u w:val="single"/>
        </w:rPr>
      </w:pPr>
    </w:p>
    <w:p w14:paraId="54B4A0ED">
      <w:pPr>
        <w:pStyle w:val="6"/>
        <w:spacing w:line="240" w:lineRule="auto"/>
        <w:rPr>
          <w:rFonts w:ascii="文鼎CS楷体" w:eastAsia="文鼎CS楷体"/>
          <w:b/>
          <w:bCs/>
          <w:color w:val="auto"/>
          <w:sz w:val="32"/>
          <w:szCs w:val="32"/>
          <w:highlight w:val="none"/>
        </w:rPr>
      </w:pPr>
    </w:p>
    <w:p w14:paraId="0731F23B">
      <w:pPr>
        <w:pStyle w:val="6"/>
        <w:spacing w:line="240" w:lineRule="auto"/>
        <w:rPr>
          <w:rFonts w:ascii="文鼎CS楷体" w:eastAsia="文鼎CS楷体"/>
          <w:b/>
          <w:bCs/>
          <w:color w:val="auto"/>
          <w:sz w:val="32"/>
          <w:szCs w:val="32"/>
          <w:highlight w:val="none"/>
        </w:rPr>
      </w:pPr>
    </w:p>
    <w:p w14:paraId="32EAB256">
      <w:pPr>
        <w:rPr>
          <w:color w:val="auto"/>
          <w:sz w:val="32"/>
          <w:szCs w:val="32"/>
          <w:highlight w:val="none"/>
          <w:u w:val="single"/>
        </w:rPr>
      </w:pPr>
      <w:r>
        <w:rPr>
          <w:rFonts w:hint="eastAsia"/>
          <w:b/>
          <w:color w:val="auto"/>
          <w:sz w:val="32"/>
          <w:szCs w:val="32"/>
          <w:highlight w:val="none"/>
        </w:rPr>
        <w:t>供应商名称：</w:t>
      </w:r>
    </w:p>
    <w:p w14:paraId="1B9C8D1C">
      <w:pPr>
        <w:snapToGrid w:val="0"/>
        <w:rPr>
          <w:rFonts w:ascii="宋体" w:hAnsi="宋体"/>
          <w:b/>
          <w:color w:val="auto"/>
          <w:sz w:val="32"/>
          <w:szCs w:val="32"/>
          <w:highlight w:val="none"/>
        </w:rPr>
      </w:pPr>
      <w:r>
        <w:rPr>
          <w:rFonts w:hint="eastAsia" w:ascii="宋体" w:hAnsi="宋体"/>
          <w:b/>
          <w:color w:val="auto"/>
          <w:sz w:val="32"/>
          <w:szCs w:val="32"/>
          <w:highlight w:val="none"/>
        </w:rPr>
        <w:t xml:space="preserve">地址： </w:t>
      </w:r>
    </w:p>
    <w:p w14:paraId="0342F2F0">
      <w:pPr>
        <w:snapToGrid w:val="0"/>
        <w:rPr>
          <w:rFonts w:ascii="宋体" w:hAnsi="宋体"/>
          <w:b/>
          <w:color w:val="auto"/>
          <w:sz w:val="32"/>
          <w:szCs w:val="32"/>
          <w:highlight w:val="none"/>
        </w:rPr>
      </w:pPr>
      <w:r>
        <w:rPr>
          <w:rFonts w:hint="eastAsia"/>
          <w:b/>
          <w:color w:val="auto"/>
          <w:sz w:val="32"/>
          <w:szCs w:val="32"/>
          <w:highlight w:val="none"/>
        </w:rPr>
        <w:t>联系</w:t>
      </w:r>
      <w:r>
        <w:rPr>
          <w:rFonts w:hint="eastAsia" w:ascii="宋体" w:hAnsi="宋体"/>
          <w:b/>
          <w:color w:val="auto"/>
          <w:sz w:val="32"/>
          <w:szCs w:val="32"/>
          <w:highlight w:val="none"/>
        </w:rPr>
        <w:t xml:space="preserve">电话： </w:t>
      </w:r>
    </w:p>
    <w:p w14:paraId="6736BA9B">
      <w:pPr>
        <w:snapToGrid w:val="0"/>
        <w:jc w:val="center"/>
        <w:rPr>
          <w:rFonts w:ascii="宋体" w:hAnsi="宋体"/>
          <w:b/>
          <w:color w:val="auto"/>
          <w:sz w:val="32"/>
          <w:szCs w:val="32"/>
          <w:highlight w:val="none"/>
        </w:rPr>
      </w:pPr>
      <w:r>
        <w:rPr>
          <w:rFonts w:hint="eastAsia" w:ascii="宋体" w:hAnsi="宋体"/>
          <w:b/>
          <w:color w:val="auto"/>
          <w:sz w:val="32"/>
          <w:szCs w:val="32"/>
          <w:highlight w:val="none"/>
        </w:rPr>
        <w:t>年</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月</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日</w:t>
      </w:r>
    </w:p>
    <w:p w14:paraId="3F8CBF1B">
      <w:pPr>
        <w:ind w:firstLine="954" w:firstLineChars="396"/>
        <w:rPr>
          <w:rFonts w:ascii="宋体" w:hAnsi="宋体"/>
          <w:b/>
          <w:color w:val="auto"/>
          <w:sz w:val="24"/>
          <w:highlight w:val="none"/>
        </w:rPr>
      </w:pPr>
    </w:p>
    <w:p w14:paraId="1BBD0063">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br w:type="page"/>
      </w:r>
    </w:p>
    <w:p w14:paraId="64DBE56B">
      <w:pPr>
        <w:ind w:firstLine="560" w:firstLineChars="200"/>
        <w:outlineLvl w:val="1"/>
        <w:rPr>
          <w:rFonts w:ascii="仿宋" w:hAnsi="仿宋" w:eastAsia="仿宋"/>
          <w:color w:val="auto"/>
          <w:sz w:val="28"/>
          <w:szCs w:val="28"/>
          <w:highlight w:val="none"/>
        </w:rPr>
      </w:pPr>
      <w:bookmarkStart w:id="71" w:name="_Toc4984"/>
      <w:r>
        <w:rPr>
          <w:rFonts w:hint="eastAsia" w:ascii="黑体" w:hAnsi="黑体" w:eastAsia="黑体"/>
          <w:color w:val="auto"/>
          <w:sz w:val="28"/>
          <w:szCs w:val="28"/>
          <w:highlight w:val="none"/>
        </w:rPr>
        <w:t>一、资格证明文件</w:t>
      </w:r>
      <w:bookmarkEnd w:id="71"/>
    </w:p>
    <w:p w14:paraId="5E21DCB0">
      <w:pPr>
        <w:ind w:firstLine="560" w:firstLineChars="200"/>
        <w:outlineLvl w:val="9"/>
        <w:rPr>
          <w:rFonts w:ascii="仿宋" w:hAnsi="仿宋" w:eastAsia="仿宋" w:cs="Arial"/>
          <w:color w:val="auto"/>
          <w:sz w:val="28"/>
          <w:szCs w:val="28"/>
          <w:highlight w:val="none"/>
        </w:rPr>
      </w:pPr>
      <w:r>
        <w:rPr>
          <w:rFonts w:hint="eastAsia" w:ascii="仿宋" w:hAnsi="仿宋" w:eastAsia="仿宋"/>
          <w:color w:val="auto"/>
          <w:sz w:val="28"/>
          <w:szCs w:val="28"/>
          <w:highlight w:val="none"/>
        </w:rPr>
        <w:t>（一）</w:t>
      </w:r>
      <w:r>
        <w:rPr>
          <w:rFonts w:hint="eastAsia" w:ascii="仿宋" w:hAnsi="仿宋" w:eastAsia="仿宋" w:cs="Arial"/>
          <w:color w:val="auto"/>
          <w:sz w:val="28"/>
          <w:szCs w:val="28"/>
          <w:highlight w:val="none"/>
        </w:rPr>
        <w:t>法人或者其他组织的营业执照，自然人的身份证（复印件）。</w:t>
      </w:r>
    </w:p>
    <w:p w14:paraId="04A1A6E4">
      <w:pPr>
        <w:spacing w:before="50" w:afterLines="50"/>
        <w:ind w:firstLine="560" w:firstLineChars="200"/>
        <w:jc w:val="lef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（二）参加本次政府采购活动前的会计报表</w:t>
      </w:r>
      <w:r>
        <w:rPr>
          <w:rFonts w:hint="eastAsia" w:ascii="仿宋" w:hAnsi="仿宋" w:eastAsia="仿宋" w:cs="Arial"/>
          <w:color w:val="auto"/>
          <w:sz w:val="28"/>
          <w:szCs w:val="28"/>
          <w:highlight w:val="none"/>
        </w:rPr>
        <w:t>（复印件，成立不满一年不需提供）。</w:t>
      </w:r>
    </w:p>
    <w:p w14:paraId="1B4750D6">
      <w:pPr>
        <w:ind w:firstLine="560" w:firstLineChars="200"/>
        <w:outlineLvl w:val="9"/>
        <w:rPr>
          <w:rFonts w:ascii="仿宋" w:hAnsi="仿宋" w:eastAsia="仿宋" w:cs="Arial"/>
          <w:color w:val="auto"/>
          <w:sz w:val="28"/>
          <w:szCs w:val="28"/>
          <w:highlight w:val="none"/>
        </w:rPr>
      </w:pPr>
      <w:r>
        <w:rPr>
          <w:rFonts w:hint="eastAsia" w:ascii="仿宋" w:hAnsi="仿宋" w:eastAsia="仿宋"/>
          <w:color w:val="auto"/>
          <w:sz w:val="28"/>
          <w:szCs w:val="28"/>
          <w:highlight w:val="none"/>
        </w:rPr>
        <w:t>（三）参加本次政府采购活动前一年内至少一个月缴纳增值税、营业税或者企业所得税的凭据，以及缴纳社会保险的凭据（专用收据或者社会保险缴纳清单）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（复印件）。</w:t>
      </w:r>
    </w:p>
    <w:p w14:paraId="4461FAD6">
      <w:pPr>
        <w:spacing w:before="50" w:afterLines="50"/>
        <w:ind w:firstLine="560" w:firstLineChars="200"/>
        <w:jc w:val="left"/>
        <w:outlineLvl w:val="9"/>
        <w:rPr>
          <w:rFonts w:ascii="仿宋" w:hAnsi="仿宋" w:eastAsia="仿宋" w:cs="Arial"/>
          <w:color w:val="auto"/>
          <w:sz w:val="28"/>
          <w:szCs w:val="28"/>
          <w:highlight w:val="none"/>
        </w:rPr>
      </w:pPr>
      <w:r>
        <w:rPr>
          <w:rFonts w:ascii="仿宋" w:hAnsi="仿宋" w:eastAsia="仿宋"/>
          <w:color w:val="auto"/>
          <w:sz w:val="28"/>
          <w:szCs w:val="28"/>
          <w:highlight w:val="none"/>
        </w:rPr>
        <w:br w:type="page"/>
      </w:r>
      <w:r>
        <w:rPr>
          <w:rFonts w:hint="eastAsia" w:ascii="仿宋" w:hAnsi="仿宋" w:eastAsia="仿宋"/>
          <w:color w:val="auto"/>
          <w:sz w:val="28"/>
          <w:szCs w:val="28"/>
          <w:highlight w:val="none"/>
        </w:rPr>
        <w:t>（四）根据项目需求提供履行合同</w:t>
      </w:r>
      <w:r>
        <w:rPr>
          <w:rFonts w:hint="eastAsia" w:ascii="仿宋" w:hAnsi="仿宋" w:eastAsia="仿宋" w:cs="Arial"/>
          <w:color w:val="auto"/>
          <w:sz w:val="28"/>
          <w:szCs w:val="28"/>
          <w:highlight w:val="none"/>
        </w:rPr>
        <w:t>必需的设备和专业技术能力的声明及证明材料。</w:t>
      </w:r>
    </w:p>
    <w:p w14:paraId="556ECCF0">
      <w:pPr>
        <w:jc w:val="center"/>
        <w:outlineLvl w:val="9"/>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声  明</w:t>
      </w:r>
    </w:p>
    <w:p w14:paraId="2A1E0A5B">
      <w:pPr>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我公司郑重声明：我公司具备履行本项采购合同所必需的设备和专业技术能力，为履行本项采购合同我公司具备如下主要设备和主要专业技术能力：</w:t>
      </w:r>
    </w:p>
    <w:p w14:paraId="56BEEB7E">
      <w:pPr>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主要设备有：________。</w:t>
      </w:r>
    </w:p>
    <w:p w14:paraId="69B21CC5">
      <w:pPr>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主要专业技术能力有：________。</w:t>
      </w:r>
    </w:p>
    <w:p w14:paraId="00CD2540">
      <w:pPr>
        <w:ind w:firstLine="560" w:firstLineChars="200"/>
        <w:outlineLvl w:val="9"/>
        <w:rPr>
          <w:rFonts w:ascii="仿宋" w:hAnsi="仿宋" w:eastAsia="仿宋"/>
          <w:color w:val="auto"/>
          <w:sz w:val="28"/>
          <w:szCs w:val="28"/>
          <w:highlight w:val="none"/>
        </w:rPr>
      </w:pPr>
    </w:p>
    <w:p w14:paraId="01C08099">
      <w:pPr>
        <w:ind w:firstLine="2520" w:firstLineChars="9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供应商名称（公章）：</w:t>
      </w:r>
    </w:p>
    <w:p w14:paraId="1187EEE3">
      <w:pPr>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p>
    <w:p w14:paraId="436AEA8B">
      <w:pPr>
        <w:spacing w:before="50" w:afterLines="50"/>
        <w:ind w:firstLine="560" w:firstLineChars="200"/>
        <w:jc w:val="left"/>
        <w:outlineLvl w:val="9"/>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p>
    <w:p w14:paraId="758A38C9">
      <w:pPr>
        <w:ind w:firstLine="560" w:firstLineChars="200"/>
        <w:outlineLvl w:val="9"/>
        <w:rPr>
          <w:rFonts w:ascii="仿宋" w:hAnsi="仿宋" w:eastAsia="仿宋" w:cs="Arial"/>
          <w:color w:val="auto"/>
          <w:sz w:val="28"/>
          <w:szCs w:val="28"/>
          <w:highlight w:val="none"/>
        </w:rPr>
      </w:pPr>
      <w:r>
        <w:rPr>
          <w:rFonts w:ascii="仿宋" w:hAnsi="仿宋" w:eastAsia="仿宋"/>
          <w:color w:val="auto"/>
          <w:sz w:val="28"/>
          <w:szCs w:val="28"/>
          <w:highlight w:val="none"/>
        </w:rPr>
        <w:br w:type="page"/>
      </w:r>
      <w:r>
        <w:rPr>
          <w:rFonts w:hint="eastAsia" w:ascii="仿宋" w:hAnsi="仿宋" w:eastAsia="仿宋"/>
          <w:color w:val="auto"/>
          <w:sz w:val="28"/>
          <w:szCs w:val="28"/>
          <w:highlight w:val="none"/>
        </w:rPr>
        <w:t>（五）</w:t>
      </w:r>
      <w:r>
        <w:rPr>
          <w:rFonts w:hint="eastAsia" w:ascii="仿宋" w:hAnsi="仿宋" w:eastAsia="仿宋" w:cs="Arial"/>
          <w:color w:val="auto"/>
          <w:sz w:val="28"/>
          <w:szCs w:val="28"/>
          <w:highlight w:val="none"/>
        </w:rPr>
        <w:t>参加本次政府采购活动前 3 年内在经营活动中没有重大违法记录的书面声明。</w:t>
      </w:r>
    </w:p>
    <w:p w14:paraId="50547972">
      <w:pPr>
        <w:jc w:val="center"/>
        <w:outlineLvl w:val="9"/>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声  明</w:t>
      </w:r>
    </w:p>
    <w:p w14:paraId="2DF547EA">
      <w:pPr>
        <w:ind w:firstLine="482"/>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我公司郑重声明：参加本次政府采购活动前 3 年内，我公司在经营活动中没有因违法经营受到刑事处罚或者责令停产停业、吊销许可证或者执照、较大数额罚款等行政处罚。</w:t>
      </w:r>
    </w:p>
    <w:p w14:paraId="74541E35">
      <w:pPr>
        <w:ind w:firstLine="482"/>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在响应文件提交截止时间前，没有被“信用中国”（</w:t>
      </w:r>
      <w:r>
        <w:rPr>
          <w:rFonts w:ascii="仿宋" w:hAnsi="仿宋" w:eastAsia="仿宋"/>
          <w:color w:val="auto"/>
          <w:sz w:val="28"/>
          <w:szCs w:val="28"/>
          <w:highlight w:val="none"/>
        </w:rPr>
        <w:t>www.creditchina.gov.cn</w:t>
      </w:r>
      <w:r>
        <w:rPr>
          <w:rFonts w:hint="eastAsia" w:ascii="仿宋" w:hAnsi="仿宋" w:eastAsia="仿宋"/>
          <w:color w:val="auto"/>
          <w:sz w:val="28"/>
          <w:szCs w:val="28"/>
          <w:highlight w:val="none"/>
        </w:rPr>
        <w:t>）、“中国政府采购网”（</w:t>
      </w:r>
      <w:r>
        <w:rPr>
          <w:rFonts w:ascii="仿宋" w:hAnsi="仿宋" w:eastAsia="仿宋"/>
          <w:color w:val="auto"/>
          <w:sz w:val="28"/>
          <w:szCs w:val="28"/>
          <w:highlight w:val="none"/>
        </w:rPr>
        <w:t>www.ccgp.gov.cn</w:t>
      </w:r>
      <w:r>
        <w:rPr>
          <w:rFonts w:hint="eastAsia" w:ascii="仿宋" w:hAnsi="仿宋" w:eastAsia="仿宋"/>
          <w:color w:val="auto"/>
          <w:sz w:val="28"/>
          <w:szCs w:val="28"/>
          <w:highlight w:val="none"/>
        </w:rPr>
        <w:t>）网站列入失信被执行人、重大税收违法案件当事人名单、政府采购严重违法失信行为记录名单。</w:t>
      </w:r>
    </w:p>
    <w:p w14:paraId="39E9A620">
      <w:pPr>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p>
    <w:p w14:paraId="69D8F0F3">
      <w:pPr>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p>
    <w:p w14:paraId="45A0EADD">
      <w:pPr>
        <w:ind w:firstLine="560" w:firstLineChars="200"/>
        <w:outlineLvl w:val="9"/>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p>
    <w:p w14:paraId="576B5620">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r>
    </w:p>
    <w:p w14:paraId="19872AD8">
      <w:pPr>
        <w:numPr>
          <w:ilvl w:val="0"/>
          <w:numId w:val="3"/>
        </w:numPr>
        <w:spacing w:before="50" w:afterLines="50"/>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项目实施所必须的许可资质证明材料</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如有</w:t>
      </w:r>
      <w:r>
        <w:rPr>
          <w:rFonts w:hint="eastAsia" w:ascii="仿宋" w:hAnsi="仿宋" w:eastAsia="仿宋"/>
          <w:color w:val="auto"/>
          <w:sz w:val="28"/>
          <w:szCs w:val="28"/>
          <w:highlight w:val="none"/>
          <w:lang w:eastAsia="zh-CN"/>
        </w:rPr>
        <w:t>）</w:t>
      </w:r>
    </w:p>
    <w:p w14:paraId="5590380B">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r>
    </w:p>
    <w:p w14:paraId="6B8280FA">
      <w:pPr>
        <w:spacing w:before="50" w:afterLines="50"/>
        <w:ind w:firstLine="560" w:firstLineChars="200"/>
        <w:jc w:val="lef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七</w:t>
      </w:r>
      <w:r>
        <w:rPr>
          <w:rFonts w:hint="eastAsia" w:ascii="仿宋" w:hAnsi="仿宋" w:eastAsia="仿宋"/>
          <w:color w:val="auto"/>
          <w:sz w:val="28"/>
          <w:szCs w:val="28"/>
          <w:highlight w:val="none"/>
        </w:rPr>
        <w:t>）法定代表人身份证明及身份证复印件</w:t>
      </w:r>
    </w:p>
    <w:p w14:paraId="53AAF868">
      <w:pPr>
        <w:spacing w:before="50" w:after="156"/>
        <w:ind w:firstLine="562"/>
        <w:jc w:val="center"/>
        <w:rPr>
          <w:rFonts w:ascii="仿宋" w:hAnsi="仿宋" w:eastAsia="仿宋"/>
          <w:color w:val="auto"/>
          <w:sz w:val="28"/>
          <w:szCs w:val="28"/>
          <w:highlight w:val="none"/>
        </w:rPr>
      </w:pPr>
      <w:r>
        <w:rPr>
          <w:rFonts w:hint="eastAsia" w:ascii="仿宋" w:hAnsi="仿宋" w:eastAsia="仿宋"/>
          <w:b/>
          <w:bCs/>
          <w:color w:val="auto"/>
          <w:sz w:val="28"/>
          <w:szCs w:val="28"/>
          <w:highlight w:val="none"/>
        </w:rPr>
        <w:t>法定代表人身份证明</w:t>
      </w:r>
    </w:p>
    <w:p w14:paraId="30DA51EB">
      <w:pPr>
        <w:spacing w:before="50" w:after="156"/>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 </w:t>
      </w:r>
    </w:p>
    <w:p w14:paraId="0D6D7923">
      <w:pPr>
        <w:spacing w:before="50" w:after="156"/>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单位性质： </w:t>
      </w:r>
    </w:p>
    <w:p w14:paraId="5BBCE836">
      <w:pPr>
        <w:spacing w:before="50" w:after="156"/>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地址：</w:t>
      </w:r>
    </w:p>
    <w:p w14:paraId="19D9AC6D">
      <w:pPr>
        <w:spacing w:before="50" w:after="156"/>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成立时间：年月日 </w:t>
      </w:r>
    </w:p>
    <w:p w14:paraId="02481548">
      <w:pPr>
        <w:spacing w:before="50" w:after="156"/>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经营期限：</w:t>
      </w:r>
    </w:p>
    <w:p w14:paraId="74D6A118">
      <w:pPr>
        <w:spacing w:before="50" w:after="156"/>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姓名：</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性别： </w:t>
      </w:r>
    </w:p>
    <w:p w14:paraId="43D41C33">
      <w:pPr>
        <w:spacing w:before="50" w:after="156"/>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年龄：</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职务：</w:t>
      </w:r>
    </w:p>
    <w:p w14:paraId="32B6B54D">
      <w:pPr>
        <w:spacing w:before="50" w:after="156"/>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系（供应商名称）的法定代表人。 特此证明。 </w:t>
      </w:r>
    </w:p>
    <w:p w14:paraId="1F5BC540">
      <w:pPr>
        <w:spacing w:before="50" w:after="156"/>
        <w:ind w:firstLine="560"/>
        <w:jc w:val="left"/>
        <w:rPr>
          <w:rFonts w:ascii="仿宋" w:hAnsi="仿宋" w:eastAsia="仿宋"/>
          <w:color w:val="auto"/>
          <w:sz w:val="28"/>
          <w:szCs w:val="28"/>
          <w:highlight w:val="none"/>
        </w:rPr>
      </w:pPr>
    </w:p>
    <w:p w14:paraId="3D1537F7">
      <w:pPr>
        <w:spacing w:before="50" w:after="156"/>
        <w:ind w:firstLine="560"/>
        <w:jc w:val="left"/>
        <w:rPr>
          <w:rFonts w:ascii="仿宋" w:hAnsi="仿宋" w:eastAsia="仿宋"/>
          <w:color w:val="auto"/>
          <w:sz w:val="28"/>
          <w:szCs w:val="28"/>
          <w:highlight w:val="none"/>
        </w:rPr>
      </w:pPr>
      <w:r>
        <w:rPr>
          <w:rFonts w:hint="eastAsia" w:ascii="仿宋" w:hAnsi="仿宋" w:eastAsia="仿宋"/>
          <w:color w:val="auto"/>
          <w:sz w:val="28"/>
          <w:szCs w:val="28"/>
          <w:highlight w:val="none"/>
        </w:rPr>
        <w:t>法定代表人身份证</w:t>
      </w:r>
    </w:p>
    <w:p w14:paraId="7D67CCA5">
      <w:pPr>
        <w:spacing w:before="50" w:after="156"/>
        <w:ind w:firstLine="560"/>
        <w:jc w:val="right"/>
        <w:rPr>
          <w:rFonts w:ascii="仿宋" w:hAnsi="仿宋" w:eastAsia="仿宋"/>
          <w:color w:val="auto"/>
          <w:sz w:val="28"/>
          <w:szCs w:val="28"/>
          <w:highlight w:val="none"/>
        </w:rPr>
      </w:pPr>
    </w:p>
    <w:p w14:paraId="66AEC361">
      <w:pPr>
        <w:spacing w:before="50" w:after="156"/>
        <w:ind w:firstLine="560"/>
        <w:jc w:val="righ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p>
    <w:p w14:paraId="79A33EBA">
      <w:pPr>
        <w:widowControl/>
        <w:jc w:val="righ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日期：年 月日</w:t>
      </w:r>
      <w:r>
        <w:rPr>
          <w:rFonts w:ascii="仿宋" w:hAnsi="仿宋" w:eastAsia="仿宋"/>
          <w:color w:val="auto"/>
          <w:sz w:val="28"/>
          <w:szCs w:val="28"/>
          <w:highlight w:val="none"/>
        </w:rPr>
        <w:br w:type="page"/>
      </w:r>
    </w:p>
    <w:p w14:paraId="1DB8B097">
      <w:pPr>
        <w:spacing w:before="50" w:afterLines="50"/>
        <w:ind w:firstLine="560" w:firstLineChars="200"/>
        <w:jc w:val="lef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（八）法定代表人</w:t>
      </w:r>
      <w:r>
        <w:rPr>
          <w:rFonts w:ascii="仿宋" w:hAnsi="仿宋" w:eastAsia="仿宋"/>
          <w:color w:val="auto"/>
          <w:sz w:val="28"/>
          <w:szCs w:val="28"/>
          <w:highlight w:val="none"/>
        </w:rPr>
        <w:t>授权</w:t>
      </w:r>
      <w:r>
        <w:rPr>
          <w:rFonts w:hint="eastAsia" w:ascii="仿宋" w:hAnsi="仿宋" w:eastAsia="仿宋"/>
          <w:color w:val="auto"/>
          <w:sz w:val="28"/>
          <w:szCs w:val="28"/>
          <w:highlight w:val="none"/>
        </w:rPr>
        <w:t>委托</w:t>
      </w:r>
      <w:r>
        <w:rPr>
          <w:rFonts w:ascii="仿宋" w:hAnsi="仿宋" w:eastAsia="仿宋"/>
          <w:color w:val="auto"/>
          <w:sz w:val="28"/>
          <w:szCs w:val="28"/>
          <w:highlight w:val="none"/>
        </w:rPr>
        <w:t>书</w:t>
      </w:r>
      <w:r>
        <w:rPr>
          <w:rFonts w:hint="eastAsia" w:ascii="仿宋" w:hAnsi="仿宋" w:eastAsia="仿宋"/>
          <w:color w:val="auto"/>
          <w:sz w:val="28"/>
          <w:szCs w:val="28"/>
          <w:highlight w:val="none"/>
        </w:rPr>
        <w:t>。（法定代表人参加磋商采购活动的，无需提供）</w:t>
      </w:r>
    </w:p>
    <w:p w14:paraId="4FCC56AD">
      <w:pPr>
        <w:jc w:val="center"/>
        <w:outlineLvl w:val="9"/>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法定代表人授权委托书</w:t>
      </w:r>
    </w:p>
    <w:p w14:paraId="1E41CB10">
      <w:pPr>
        <w:pStyle w:val="31"/>
        <w:spacing w:line="500" w:lineRule="exact"/>
        <w:ind w:firstLine="48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本授权书声明：_______________（供应商名称）授权________________（代理人的姓名）为我方就项目名称：</w:t>
      </w:r>
      <w:r>
        <w:rPr>
          <w:rFonts w:hint="eastAsia" w:ascii="仿宋" w:hAnsi="仿宋" w:eastAsia="仿宋"/>
          <w:color w:val="auto"/>
          <w:sz w:val="28"/>
          <w:szCs w:val="28"/>
          <w:highlight w:val="none"/>
          <w:u w:val="single"/>
          <w:lang w:val="en-US" w:eastAsia="zh-CN"/>
        </w:rPr>
        <w:t>东陈镇2026年生活垃圾转送服务</w:t>
      </w:r>
      <w:r>
        <w:rPr>
          <w:rFonts w:hint="eastAsia" w:ascii="仿宋" w:hAnsi="仿宋" w:eastAsia="仿宋"/>
          <w:color w:val="auto"/>
          <w:sz w:val="28"/>
          <w:szCs w:val="28"/>
          <w:highlight w:val="none"/>
        </w:rPr>
        <w:t>项目编号:</w:t>
      </w:r>
      <w:r>
        <w:rPr>
          <w:rFonts w:hint="eastAsia" w:ascii="仿宋" w:hAnsi="仿宋" w:eastAsia="仿宋"/>
          <w:color w:val="auto"/>
          <w:sz w:val="28"/>
          <w:szCs w:val="28"/>
          <w:highlight w:val="none"/>
          <w:u w:val="single"/>
          <w:lang w:val="en-US" w:eastAsia="zh-CN"/>
        </w:rPr>
        <w:t>JSZC-320682-NTZJ-C2026-0005</w:t>
      </w:r>
      <w:r>
        <w:rPr>
          <w:rFonts w:hint="eastAsia" w:ascii="仿宋" w:hAnsi="仿宋" w:eastAsia="仿宋"/>
          <w:color w:val="auto"/>
          <w:sz w:val="28"/>
          <w:szCs w:val="28"/>
          <w:highlight w:val="none"/>
        </w:rPr>
        <w:t>采购活动的合法代理人，以本公司名义全权处理一切与该项目采购有关的事务。</w:t>
      </w:r>
    </w:p>
    <w:p w14:paraId="2DB1E463">
      <w:pPr>
        <w:pStyle w:val="31"/>
        <w:spacing w:line="500" w:lineRule="exact"/>
        <w:ind w:firstLine="48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本授权书于______年____月____日起生效，特此声明。</w:t>
      </w:r>
    </w:p>
    <w:p w14:paraId="323F5307">
      <w:pPr>
        <w:pStyle w:val="31"/>
        <w:spacing w:line="500" w:lineRule="exact"/>
        <w:ind w:firstLine="480"/>
        <w:outlineLvl w:val="9"/>
        <w:rPr>
          <w:rFonts w:ascii="仿宋" w:hAnsi="仿宋" w:eastAsia="仿宋"/>
          <w:color w:val="auto"/>
          <w:sz w:val="28"/>
          <w:szCs w:val="28"/>
          <w:highlight w:val="none"/>
        </w:rPr>
      </w:pPr>
    </w:p>
    <w:p w14:paraId="7E7F3319">
      <w:pPr>
        <w:pStyle w:val="31"/>
        <w:spacing w:line="500" w:lineRule="exact"/>
        <w:ind w:firstLine="480"/>
        <w:outlineLvl w:val="9"/>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p>
    <w:p w14:paraId="6B2FF511">
      <w:pPr>
        <w:pStyle w:val="31"/>
        <w:spacing w:line="500" w:lineRule="exact"/>
        <w:ind w:firstLine="48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身份证号码：</w:t>
      </w:r>
    </w:p>
    <w:p w14:paraId="2917B70C">
      <w:pPr>
        <w:pStyle w:val="31"/>
        <w:spacing w:line="500" w:lineRule="exact"/>
        <w:ind w:firstLine="232" w:firstLineChars="83"/>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p>
    <w:p w14:paraId="1C0C59DD">
      <w:pPr>
        <w:pStyle w:val="31"/>
        <w:spacing w:line="500" w:lineRule="exact"/>
        <w:ind w:firstLine="480"/>
        <w:outlineLvl w:val="9"/>
        <w:rPr>
          <w:rFonts w:ascii="仿宋" w:hAnsi="仿宋" w:eastAsia="仿宋"/>
          <w:color w:val="auto"/>
          <w:sz w:val="28"/>
          <w:szCs w:val="28"/>
          <w:highlight w:val="none"/>
        </w:rPr>
      </w:pPr>
    </w:p>
    <w:p w14:paraId="36DF94C4">
      <w:pPr>
        <w:pStyle w:val="31"/>
        <w:spacing w:line="500" w:lineRule="exact"/>
        <w:ind w:firstLine="48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代理人姓名：</w:t>
      </w:r>
    </w:p>
    <w:p w14:paraId="3C7DC981">
      <w:pPr>
        <w:pStyle w:val="31"/>
        <w:spacing w:line="500" w:lineRule="exact"/>
        <w:ind w:firstLine="48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p>
    <w:p w14:paraId="6E3C826A">
      <w:pPr>
        <w:pStyle w:val="31"/>
        <w:spacing w:line="500" w:lineRule="exact"/>
        <w:ind w:firstLine="48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p>
    <w:p w14:paraId="668BCE31">
      <w:pPr>
        <w:pStyle w:val="31"/>
        <w:spacing w:line="500" w:lineRule="exact"/>
        <w:ind w:firstLine="480"/>
        <w:outlineLvl w:val="9"/>
        <w:rPr>
          <w:rFonts w:ascii="仿宋" w:hAnsi="仿宋" w:eastAsia="仿宋"/>
          <w:color w:val="auto"/>
          <w:sz w:val="28"/>
          <w:szCs w:val="28"/>
          <w:highlight w:val="none"/>
        </w:rPr>
      </w:pPr>
    </w:p>
    <w:p w14:paraId="1E42C5E4">
      <w:pPr>
        <w:pStyle w:val="31"/>
        <w:spacing w:line="500" w:lineRule="exact"/>
        <w:ind w:firstLine="1260" w:firstLineChars="45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供应商名称（加盖公章）：</w:t>
      </w:r>
    </w:p>
    <w:p w14:paraId="39B0FC17">
      <w:pPr>
        <w:pStyle w:val="31"/>
        <w:spacing w:line="500" w:lineRule="exact"/>
        <w:ind w:firstLine="6020" w:firstLineChars="215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p>
    <w:p w14:paraId="093E52BC">
      <w:pPr>
        <w:pStyle w:val="31"/>
        <w:spacing w:line="500" w:lineRule="exact"/>
        <w:ind w:firstLine="480"/>
        <w:outlineLvl w:val="9"/>
        <w:rPr>
          <w:rFonts w:ascii="仿宋" w:hAnsi="仿宋" w:eastAsia="仿宋"/>
          <w:color w:val="auto"/>
          <w:sz w:val="28"/>
          <w:szCs w:val="28"/>
          <w:highlight w:val="none"/>
        </w:rPr>
      </w:pPr>
      <w:bookmarkStart w:id="72" w:name="_Hlt26955070"/>
      <w:bookmarkEnd w:id="72"/>
      <w:bookmarkStart w:id="73" w:name="_格式3__银行出具的资信证明"/>
      <w:bookmarkEnd w:id="73"/>
      <w:bookmarkStart w:id="74" w:name="_Hlt26671380"/>
      <w:bookmarkEnd w:id="74"/>
    </w:p>
    <w:p w14:paraId="79E3C1D7">
      <w:pPr>
        <w:pStyle w:val="4"/>
        <w:spacing w:line="500" w:lineRule="exact"/>
        <w:ind w:firstLine="56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法定代表人身份证复印件</w:t>
      </w:r>
    </w:p>
    <w:p w14:paraId="0EE7D1ED">
      <w:pPr>
        <w:pStyle w:val="4"/>
        <w:spacing w:line="500" w:lineRule="exact"/>
        <w:ind w:firstLine="1400" w:firstLineChars="500"/>
        <w:outlineLvl w:val="9"/>
        <w:rPr>
          <w:rFonts w:ascii="仿宋" w:hAnsi="仿宋" w:eastAsia="仿宋"/>
          <w:color w:val="auto"/>
          <w:sz w:val="28"/>
          <w:szCs w:val="28"/>
          <w:highlight w:val="none"/>
        </w:rPr>
      </w:pPr>
    </w:p>
    <w:p w14:paraId="6BF36200">
      <w:pPr>
        <w:pStyle w:val="4"/>
        <w:spacing w:line="500" w:lineRule="exact"/>
        <w:ind w:firstLine="560"/>
        <w:outlineLvl w:val="9"/>
        <w:rPr>
          <w:rFonts w:ascii="仿宋" w:hAnsi="仿宋" w:eastAsia="仿宋"/>
          <w:color w:val="auto"/>
          <w:sz w:val="28"/>
          <w:szCs w:val="28"/>
          <w:highlight w:val="none"/>
        </w:rPr>
      </w:pPr>
    </w:p>
    <w:p w14:paraId="65ED785B">
      <w:pPr>
        <w:pStyle w:val="4"/>
        <w:spacing w:line="500" w:lineRule="exact"/>
        <w:ind w:firstLine="490" w:firstLineChars="175"/>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代理人身份证复印件</w:t>
      </w:r>
    </w:p>
    <w:p w14:paraId="3B4B573E">
      <w:pPr>
        <w:pStyle w:val="4"/>
        <w:ind w:firstLineChars="175"/>
        <w:outlineLvl w:val="9"/>
        <w:rPr>
          <w:rFonts w:ascii="宋体" w:hAnsi="宋体"/>
          <w:color w:val="auto"/>
          <w:sz w:val="24"/>
          <w:highlight w:val="none"/>
        </w:rPr>
      </w:pPr>
    </w:p>
    <w:p w14:paraId="53F2F5D3">
      <w:pPr>
        <w:spacing w:before="50" w:afterLines="50"/>
        <w:ind w:firstLine="480" w:firstLineChars="200"/>
        <w:jc w:val="left"/>
        <w:outlineLvl w:val="9"/>
        <w:rPr>
          <w:rFonts w:ascii="仿宋" w:hAnsi="仿宋" w:eastAsia="仿宋"/>
          <w:color w:val="auto"/>
          <w:sz w:val="24"/>
          <w:highlight w:val="none"/>
        </w:rPr>
      </w:pPr>
    </w:p>
    <w:p w14:paraId="25976858">
      <w:pPr>
        <w:spacing w:before="50" w:afterLines="50"/>
        <w:ind w:firstLine="480"/>
        <w:jc w:val="left"/>
        <w:outlineLvl w:val="9"/>
        <w:rPr>
          <w:rFonts w:ascii="仿宋" w:hAnsi="仿宋" w:eastAsia="仿宋" w:cs="Arial"/>
          <w:color w:val="auto"/>
          <w:sz w:val="28"/>
          <w:szCs w:val="28"/>
          <w:highlight w:val="none"/>
        </w:rPr>
      </w:pPr>
      <w:r>
        <w:rPr>
          <w:rFonts w:ascii="仿宋" w:hAnsi="仿宋" w:eastAsia="仿宋"/>
          <w:bCs/>
          <w:color w:val="auto"/>
          <w:sz w:val="28"/>
          <w:szCs w:val="28"/>
          <w:highlight w:val="none"/>
        </w:rPr>
        <w:br w:type="page"/>
      </w:r>
      <w:r>
        <w:rPr>
          <w:rFonts w:hint="eastAsia" w:ascii="仿宋" w:hAnsi="仿宋" w:eastAsia="仿宋"/>
          <w:bCs/>
          <w:color w:val="auto"/>
          <w:sz w:val="28"/>
          <w:szCs w:val="28"/>
          <w:highlight w:val="none"/>
        </w:rPr>
        <w:t>（</w:t>
      </w:r>
      <w:r>
        <w:rPr>
          <w:rFonts w:hint="eastAsia" w:ascii="仿宋" w:hAnsi="仿宋" w:eastAsia="仿宋"/>
          <w:bCs/>
          <w:color w:val="auto"/>
          <w:sz w:val="28"/>
          <w:szCs w:val="28"/>
          <w:highlight w:val="none"/>
          <w:lang w:val="en-US" w:eastAsia="zh-CN"/>
        </w:rPr>
        <w:t>九</w:t>
      </w:r>
      <w:r>
        <w:rPr>
          <w:rFonts w:hint="eastAsia" w:ascii="仿宋" w:hAnsi="仿宋" w:eastAsia="仿宋"/>
          <w:bCs/>
          <w:color w:val="auto"/>
          <w:sz w:val="28"/>
          <w:szCs w:val="28"/>
          <w:highlight w:val="none"/>
        </w:rPr>
        <w:t>）</w:t>
      </w:r>
      <w:r>
        <w:rPr>
          <w:rFonts w:hint="eastAsia" w:ascii="仿宋" w:hAnsi="仿宋" w:eastAsia="仿宋" w:cs="Arial"/>
          <w:color w:val="auto"/>
          <w:sz w:val="28"/>
          <w:szCs w:val="28"/>
          <w:highlight w:val="none"/>
        </w:rPr>
        <w:t>磋商响应函</w:t>
      </w:r>
    </w:p>
    <w:p w14:paraId="6D55D031">
      <w:pPr>
        <w:spacing w:before="50" w:afterLines="50"/>
        <w:jc w:val="center"/>
        <w:outlineLvl w:val="9"/>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竞争性磋商响应函</w:t>
      </w:r>
    </w:p>
    <w:p w14:paraId="0550F825">
      <w:pPr>
        <w:pStyle w:val="31"/>
        <w:spacing w:line="500" w:lineRule="exact"/>
        <w:outlineLvl w:val="9"/>
        <w:rPr>
          <w:rFonts w:hint="default" w:ascii="仿宋" w:hAnsi="仿宋" w:eastAsia="仿宋"/>
          <w:i w:val="0"/>
          <w:iCs w:val="0"/>
          <w:color w:val="auto"/>
          <w:sz w:val="28"/>
          <w:szCs w:val="28"/>
          <w:highlight w:val="none"/>
          <w:lang w:val="en-US" w:eastAsia="zh-CN"/>
        </w:rPr>
      </w:pPr>
      <w:r>
        <w:rPr>
          <w:rFonts w:hint="eastAsia" w:ascii="仿宋" w:hAnsi="仿宋" w:eastAsia="仿宋"/>
          <w:i w:val="0"/>
          <w:iCs w:val="0"/>
          <w:color w:val="auto"/>
          <w:sz w:val="28"/>
          <w:szCs w:val="28"/>
          <w:highlight w:val="none"/>
        </w:rPr>
        <w:t>致：</w:t>
      </w:r>
      <w:r>
        <w:rPr>
          <w:rFonts w:hint="eastAsia" w:ascii="仿宋" w:hAnsi="仿宋" w:eastAsia="仿宋"/>
          <w:i w:val="0"/>
          <w:iCs w:val="0"/>
          <w:color w:val="auto"/>
          <w:sz w:val="28"/>
          <w:szCs w:val="28"/>
          <w:highlight w:val="none"/>
          <w:u w:val="single"/>
          <w:lang w:val="en-US" w:eastAsia="zh-CN"/>
        </w:rPr>
        <w:t>如皋市东陈镇人民政府</w:t>
      </w:r>
    </w:p>
    <w:p w14:paraId="76DBCE7B">
      <w:pPr>
        <w:pStyle w:val="31"/>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i w:val="0"/>
          <w:iCs w:val="0"/>
          <w:color w:val="auto"/>
          <w:sz w:val="28"/>
          <w:szCs w:val="28"/>
          <w:highlight w:val="none"/>
        </w:rPr>
        <w:t>根据贵方的</w:t>
      </w:r>
      <w:r>
        <w:rPr>
          <w:rFonts w:hint="eastAsia" w:ascii="仿宋" w:hAnsi="仿宋" w:eastAsia="仿宋"/>
          <w:i w:val="0"/>
          <w:iCs w:val="0"/>
          <w:color w:val="auto"/>
          <w:sz w:val="28"/>
          <w:szCs w:val="28"/>
          <w:highlight w:val="none"/>
          <w:u w:val="single"/>
          <w:lang w:val="en-US" w:eastAsia="zh-CN"/>
        </w:rPr>
        <w:t>东陈镇2026年生活垃圾转送服务</w:t>
      </w:r>
      <w:r>
        <w:rPr>
          <w:rFonts w:hint="eastAsia" w:ascii="仿宋" w:hAnsi="仿宋" w:eastAsia="仿宋"/>
          <w:i w:val="0"/>
          <w:iCs w:val="0"/>
          <w:color w:val="auto"/>
          <w:sz w:val="28"/>
          <w:szCs w:val="28"/>
          <w:highlight w:val="none"/>
        </w:rPr>
        <w:t>（项目编号：</w:t>
      </w:r>
      <w:r>
        <w:rPr>
          <w:rFonts w:hint="eastAsia" w:ascii="仿宋" w:hAnsi="仿宋" w:eastAsia="仿宋"/>
          <w:i w:val="0"/>
          <w:iCs w:val="0"/>
          <w:color w:val="auto"/>
          <w:sz w:val="28"/>
          <w:szCs w:val="28"/>
          <w:highlight w:val="none"/>
          <w:u w:val="single"/>
          <w:lang w:val="en-US" w:eastAsia="zh-CN"/>
        </w:rPr>
        <w:t>JSZC-320682-NTZJ-C2026-0005</w:t>
      </w:r>
      <w:r>
        <w:rPr>
          <w:rFonts w:hint="eastAsia" w:ascii="仿宋" w:hAnsi="仿宋" w:eastAsia="仿宋"/>
          <w:i w:val="0"/>
          <w:iCs w:val="0"/>
          <w:color w:val="auto"/>
          <w:sz w:val="28"/>
          <w:szCs w:val="28"/>
          <w:highlight w:val="none"/>
        </w:rPr>
        <w:t>）竞争性磋商文件，正式授权下述签字人_________ (姓名和职务)代表我方_____</w:t>
      </w:r>
      <w:r>
        <w:rPr>
          <w:rFonts w:hint="eastAsia" w:ascii="仿宋" w:hAnsi="仿宋" w:eastAsia="仿宋"/>
          <w:color w:val="auto"/>
          <w:sz w:val="28"/>
          <w:szCs w:val="28"/>
          <w:highlight w:val="none"/>
        </w:rPr>
        <w:t>_________（供应商的名称），全权处理本次项目磋商采购的有关事宜。</w:t>
      </w:r>
    </w:p>
    <w:p w14:paraId="5BF25AD5">
      <w:pPr>
        <w:pStyle w:val="31"/>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据此函，__________（签字人）兹宣布同意如下：</w:t>
      </w:r>
    </w:p>
    <w:p w14:paraId="219EA648">
      <w:pPr>
        <w:pStyle w:val="31"/>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1.按磋商文件规定的各项要求，向买方提供所需货物、服务。</w:t>
      </w:r>
    </w:p>
    <w:p w14:paraId="18659BC0">
      <w:pPr>
        <w:pStyle w:val="31"/>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2.我们已详细审核全部磋商文件及其有效补充文件，我们知道必须放弃提出含糊不清或误解问题的权利。</w:t>
      </w:r>
    </w:p>
    <w:p w14:paraId="1DA57466">
      <w:pPr>
        <w:pStyle w:val="31"/>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3.我们同意从规定的响应文件接收截止时间起遵循本响应文件，并在规定的磋商有效期期满之前均具有约束力。</w:t>
      </w:r>
    </w:p>
    <w:p w14:paraId="28497448">
      <w:pPr>
        <w:pStyle w:val="31"/>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4.同意向贵方提供贵方可能另外要求的与竞争性磋商活动有关的任何证据或资料，并保证我方已提供和将要提供的文件是真实的、准确的。</w:t>
      </w:r>
    </w:p>
    <w:p w14:paraId="517BB617">
      <w:pPr>
        <w:pStyle w:val="31"/>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5.如果我方成交，我方将在法定期限内签订合同，否则将承担相应法律责任。</w:t>
      </w:r>
    </w:p>
    <w:p w14:paraId="72763029">
      <w:pPr>
        <w:pStyle w:val="31"/>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6.我方将根据竞争性磋商文件的规定，严格履行合同的责任和义务，并保证在磋商文件规定的时间完成项目。</w:t>
      </w:r>
    </w:p>
    <w:p w14:paraId="1F31A7B9">
      <w:pPr>
        <w:pStyle w:val="31"/>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7.遵守竞争性磋商文件中要求的收费项目和标准。</w:t>
      </w:r>
    </w:p>
    <w:p w14:paraId="542DD365">
      <w:pPr>
        <w:pStyle w:val="31"/>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8.与本次竞争性磋商活动有关的正式通讯地址为：</w:t>
      </w:r>
    </w:p>
    <w:p w14:paraId="7E3A38DD">
      <w:pPr>
        <w:pStyle w:val="31"/>
        <w:spacing w:line="500" w:lineRule="exac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地 址：                         邮 编：</w:t>
      </w:r>
    </w:p>
    <w:p w14:paraId="740A7624">
      <w:pPr>
        <w:pStyle w:val="31"/>
        <w:spacing w:line="500" w:lineRule="exac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电 话：                         传 真：</w:t>
      </w:r>
    </w:p>
    <w:p w14:paraId="080D55BB">
      <w:pPr>
        <w:pStyle w:val="31"/>
        <w:spacing w:line="500" w:lineRule="exac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p>
    <w:p w14:paraId="10AD24F2">
      <w:pPr>
        <w:pStyle w:val="31"/>
        <w:spacing w:line="500" w:lineRule="exac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p>
    <w:p w14:paraId="51804BD2">
      <w:pPr>
        <w:pStyle w:val="31"/>
        <w:spacing w:line="500" w:lineRule="exac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日 期：________年____月____日</w:t>
      </w:r>
    </w:p>
    <w:p w14:paraId="511F922D">
      <w:pPr>
        <w:numPr>
          <w:ilvl w:val="0"/>
          <w:numId w:val="4"/>
        </w:numPr>
        <w:jc w:val="left"/>
        <w:outlineLvl w:val="9"/>
        <w:rPr>
          <w:rFonts w:hint="eastAsia" w:ascii="仿宋" w:hAnsi="仿宋" w:eastAsia="仿宋"/>
          <w:bCs/>
          <w:color w:val="auto"/>
          <w:sz w:val="28"/>
          <w:szCs w:val="28"/>
          <w:highlight w:val="none"/>
        </w:rPr>
      </w:pPr>
      <w:r>
        <w:rPr>
          <w:rFonts w:ascii="仿宋" w:hAnsi="仿宋" w:eastAsia="仿宋"/>
          <w:bCs/>
          <w:color w:val="auto"/>
          <w:sz w:val="28"/>
          <w:szCs w:val="28"/>
          <w:highlight w:val="none"/>
        </w:rPr>
        <w:br w:type="page"/>
      </w:r>
      <w:r>
        <w:rPr>
          <w:rFonts w:hint="eastAsia" w:ascii="仿宋" w:hAnsi="仿宋" w:eastAsia="仿宋"/>
          <w:bCs/>
          <w:color w:val="auto"/>
          <w:sz w:val="28"/>
          <w:szCs w:val="28"/>
          <w:highlight w:val="none"/>
        </w:rPr>
        <w:t>中小企业声明函</w:t>
      </w:r>
    </w:p>
    <w:p w14:paraId="788F0DF4">
      <w:pPr>
        <w:numPr>
          <w:ilvl w:val="0"/>
          <w:numId w:val="0"/>
        </w:numPr>
        <w:jc w:val="center"/>
        <w:outlineLvl w:val="9"/>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中小企业声明函（工程、服务）</w:t>
      </w:r>
    </w:p>
    <w:p w14:paraId="3249DD86">
      <w:pPr>
        <w:spacing w:line="500" w:lineRule="exact"/>
        <w:ind w:firstLine="560" w:firstLineChars="200"/>
        <w:outlineLvl w:val="9"/>
        <w:rPr>
          <w:rFonts w:ascii="仿宋" w:hAnsi="仿宋" w:eastAsia="仿宋"/>
          <w:i w:val="0"/>
          <w:iCs/>
          <w:color w:val="auto"/>
          <w:sz w:val="28"/>
          <w:szCs w:val="28"/>
          <w:highlight w:val="none"/>
        </w:rPr>
      </w:pPr>
      <w:r>
        <w:rPr>
          <w:rFonts w:hint="eastAsia" w:ascii="仿宋" w:hAnsi="仿宋" w:eastAsia="仿宋"/>
          <w:color w:val="auto"/>
          <w:sz w:val="28"/>
          <w:szCs w:val="28"/>
          <w:highlight w:val="none"/>
        </w:rPr>
        <w:t>本公司（联合体）郑重声明，根据《政府采购促进中小企业发展管理办法》（财库﹝2020﹞46 号）的规定，本公司（联合体）参加</w:t>
      </w:r>
      <w:r>
        <w:rPr>
          <w:rFonts w:hint="eastAsia" w:ascii="仿宋" w:hAnsi="仿宋" w:eastAsia="仿宋"/>
          <w:i w:val="0"/>
          <w:iCs/>
          <w:color w:val="auto"/>
          <w:sz w:val="28"/>
          <w:szCs w:val="28"/>
          <w:highlight w:val="none"/>
          <w:u w:val="single"/>
          <w:lang w:val="en-US" w:eastAsia="zh-CN"/>
        </w:rPr>
        <w:t>如皋市东陈镇人民政府</w:t>
      </w:r>
      <w:r>
        <w:rPr>
          <w:rFonts w:hint="eastAsia" w:ascii="仿宋" w:hAnsi="仿宋" w:eastAsia="仿宋"/>
          <w:i w:val="0"/>
          <w:iCs/>
          <w:color w:val="auto"/>
          <w:sz w:val="28"/>
          <w:szCs w:val="28"/>
          <w:highlight w:val="none"/>
        </w:rPr>
        <w:t>的</w:t>
      </w:r>
      <w:r>
        <w:rPr>
          <w:rFonts w:hint="eastAsia" w:ascii="仿宋" w:hAnsi="仿宋" w:eastAsia="仿宋"/>
          <w:i w:val="0"/>
          <w:iCs/>
          <w:color w:val="auto"/>
          <w:sz w:val="28"/>
          <w:szCs w:val="28"/>
          <w:highlight w:val="none"/>
          <w:u w:val="single"/>
          <w:lang w:val="en-US" w:eastAsia="zh-CN"/>
        </w:rPr>
        <w:t>东陈镇2026年生活垃圾转送服务</w:t>
      </w:r>
      <w:r>
        <w:rPr>
          <w:rFonts w:hint="eastAsia" w:ascii="仿宋" w:hAnsi="仿宋" w:eastAsia="仿宋"/>
          <w:i w:val="0"/>
          <w:iCs/>
          <w:color w:val="auto"/>
          <w:sz w:val="28"/>
          <w:szCs w:val="28"/>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57AE2A9">
      <w:pPr>
        <w:spacing w:line="500" w:lineRule="exact"/>
        <w:ind w:firstLine="560" w:firstLineChars="200"/>
        <w:outlineLvl w:val="9"/>
        <w:rPr>
          <w:rFonts w:ascii="仿宋" w:hAnsi="仿宋" w:eastAsia="仿宋"/>
          <w:i w:val="0"/>
          <w:iCs/>
          <w:color w:val="auto"/>
          <w:sz w:val="28"/>
          <w:szCs w:val="28"/>
          <w:highlight w:val="none"/>
        </w:rPr>
      </w:pPr>
      <w:r>
        <w:rPr>
          <w:rFonts w:hint="eastAsia" w:ascii="仿宋" w:hAnsi="仿宋" w:eastAsia="仿宋"/>
          <w:i w:val="0"/>
          <w:iCs/>
          <w:color w:val="auto"/>
          <w:sz w:val="28"/>
          <w:szCs w:val="28"/>
          <w:highlight w:val="none"/>
        </w:rPr>
        <w:t>1.</w:t>
      </w:r>
      <w:r>
        <w:rPr>
          <w:rFonts w:hint="eastAsia" w:ascii="仿宋" w:hAnsi="仿宋" w:eastAsia="仿宋"/>
          <w:i w:val="0"/>
          <w:iCs/>
          <w:color w:val="auto"/>
          <w:sz w:val="28"/>
          <w:szCs w:val="28"/>
          <w:highlight w:val="none"/>
          <w:u w:val="single"/>
          <w:lang w:val="en-US" w:eastAsia="zh-CN"/>
        </w:rPr>
        <w:t>东陈镇2026年生活垃圾转送服务</w:t>
      </w:r>
      <w:r>
        <w:rPr>
          <w:rFonts w:hint="eastAsia" w:ascii="仿宋" w:hAnsi="仿宋" w:eastAsia="仿宋"/>
          <w:i w:val="0"/>
          <w:iCs/>
          <w:color w:val="auto"/>
          <w:sz w:val="28"/>
          <w:szCs w:val="28"/>
          <w:highlight w:val="none"/>
        </w:rPr>
        <w:t>，属于</w:t>
      </w:r>
      <w:r>
        <w:rPr>
          <w:rFonts w:hint="eastAsia" w:ascii="仿宋" w:hAnsi="仿宋" w:eastAsia="仿宋"/>
          <w:i w:val="0"/>
          <w:iCs/>
          <w:color w:val="auto"/>
          <w:sz w:val="28"/>
          <w:szCs w:val="28"/>
          <w:highlight w:val="none"/>
          <w:u w:val="single"/>
        </w:rPr>
        <w:t>（其他未列明行业）</w:t>
      </w:r>
      <w:r>
        <w:rPr>
          <w:rFonts w:hint="eastAsia" w:ascii="仿宋" w:hAnsi="仿宋" w:eastAsia="仿宋"/>
          <w:i w:val="0"/>
          <w:iCs/>
          <w:color w:val="auto"/>
          <w:sz w:val="28"/>
          <w:szCs w:val="28"/>
          <w:highlight w:val="none"/>
        </w:rPr>
        <w:t xml:space="preserve"> ；承建（承接）企业为 </w:t>
      </w:r>
      <w:r>
        <w:rPr>
          <w:rFonts w:hint="eastAsia" w:ascii="仿宋" w:hAnsi="仿宋" w:eastAsia="仿宋"/>
          <w:i w:val="0"/>
          <w:iCs/>
          <w:color w:val="auto"/>
          <w:sz w:val="28"/>
          <w:szCs w:val="28"/>
          <w:highlight w:val="none"/>
          <w:u w:val="single"/>
        </w:rPr>
        <w:t>（企业名称）</w:t>
      </w:r>
      <w:r>
        <w:rPr>
          <w:rFonts w:hint="eastAsia" w:ascii="仿宋" w:hAnsi="仿宋" w:eastAsia="仿宋"/>
          <w:i w:val="0"/>
          <w:iCs/>
          <w:color w:val="auto"/>
          <w:sz w:val="28"/>
          <w:szCs w:val="28"/>
          <w:highlight w:val="none"/>
        </w:rPr>
        <w:t xml:space="preserve"> ，从业人员人，营业收入为万元，资产总额为万元</w:t>
      </w:r>
      <w:r>
        <w:rPr>
          <w:rFonts w:hint="eastAsia" w:ascii="仿宋" w:hAnsi="仿宋" w:eastAsia="仿宋"/>
          <w:i w:val="0"/>
          <w:iCs/>
          <w:color w:val="auto"/>
          <w:sz w:val="28"/>
          <w:szCs w:val="28"/>
          <w:highlight w:val="none"/>
          <w:vertAlign w:val="superscript"/>
        </w:rPr>
        <w:t>1</w:t>
      </w:r>
      <w:r>
        <w:rPr>
          <w:rFonts w:hint="eastAsia" w:ascii="仿宋" w:hAnsi="仿宋" w:eastAsia="仿宋"/>
          <w:i w:val="0"/>
          <w:iCs/>
          <w:color w:val="auto"/>
          <w:sz w:val="28"/>
          <w:szCs w:val="28"/>
          <w:highlight w:val="none"/>
        </w:rPr>
        <w:t xml:space="preserve"> ，属于</w:t>
      </w:r>
      <w:r>
        <w:rPr>
          <w:rFonts w:hint="eastAsia" w:ascii="仿宋" w:hAnsi="仿宋" w:eastAsia="仿宋"/>
          <w:i w:val="0"/>
          <w:iCs/>
          <w:color w:val="auto"/>
          <w:sz w:val="28"/>
          <w:szCs w:val="28"/>
          <w:highlight w:val="none"/>
          <w:u w:val="single"/>
        </w:rPr>
        <w:t xml:space="preserve"> （中型企业、小型企业、微型企业） </w:t>
      </w:r>
      <w:r>
        <w:rPr>
          <w:rFonts w:hint="eastAsia" w:ascii="仿宋" w:hAnsi="仿宋" w:eastAsia="仿宋"/>
          <w:i w:val="0"/>
          <w:iCs/>
          <w:color w:val="auto"/>
          <w:sz w:val="28"/>
          <w:szCs w:val="28"/>
          <w:highlight w:val="none"/>
        </w:rPr>
        <w:t>；</w:t>
      </w:r>
    </w:p>
    <w:p w14:paraId="17DCD6FF">
      <w:pPr>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w:t>
      </w:r>
    </w:p>
    <w:p w14:paraId="12E42D3E">
      <w:pPr>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以上企业，不属于大企业的分支机构，不存在控股股东为大企业的情形，也不存在与大企业的负责人为同一人的情形。</w:t>
      </w:r>
    </w:p>
    <w:p w14:paraId="76A0B150">
      <w:pPr>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本企业对上述声明内容的真实性负责。如有虚假，将依法承担相应责任。</w:t>
      </w:r>
    </w:p>
    <w:p w14:paraId="08EE01A3">
      <w:pPr>
        <w:spacing w:line="500" w:lineRule="exact"/>
        <w:ind w:firstLine="560" w:firstLineChars="200"/>
        <w:jc w:val="righ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企业名称（盖章）：          </w:t>
      </w:r>
    </w:p>
    <w:p w14:paraId="53D1F87C">
      <w:pPr>
        <w:spacing w:line="500" w:lineRule="exact"/>
        <w:ind w:firstLine="560" w:firstLineChars="200"/>
        <w:jc w:val="righ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             </w:t>
      </w:r>
    </w:p>
    <w:p w14:paraId="159E2CF7">
      <w:pPr>
        <w:spacing w:line="500" w:lineRule="exact"/>
        <w:ind w:right="56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注</w:t>
      </w:r>
      <w:r>
        <w:rPr>
          <w:rFonts w:ascii="仿宋" w:hAnsi="仿宋" w:eastAsia="仿宋"/>
          <w:color w:val="auto"/>
          <w:sz w:val="28"/>
          <w:szCs w:val="28"/>
          <w:highlight w:val="none"/>
        </w:rPr>
        <w:t>1</w:t>
      </w:r>
      <w:r>
        <w:rPr>
          <w:rFonts w:hint="eastAsia" w:ascii="仿宋" w:hAnsi="仿宋" w:eastAsia="仿宋"/>
          <w:color w:val="auto"/>
          <w:sz w:val="28"/>
          <w:szCs w:val="28"/>
          <w:highlight w:val="none"/>
        </w:rPr>
        <w:t>：从业人员、营业收入、资产总额填报上一年度数据，无上一年度数据的新成立企业可不填报。</w:t>
      </w:r>
    </w:p>
    <w:p w14:paraId="505772C5">
      <w:pPr>
        <w:spacing w:before="50" w:afterLines="50"/>
        <w:ind w:firstLine="480"/>
        <w:jc w:val="left"/>
        <w:outlineLvl w:val="9"/>
        <w:rPr>
          <w:rFonts w:ascii="仿宋" w:hAnsi="仿宋" w:eastAsia="仿宋"/>
          <w:color w:val="auto"/>
          <w:sz w:val="28"/>
          <w:szCs w:val="28"/>
          <w:highlight w:val="none"/>
        </w:rPr>
      </w:pPr>
    </w:p>
    <w:p w14:paraId="660E53D3">
      <w:pPr>
        <w:spacing w:before="50" w:afterLines="50"/>
        <w:ind w:firstLine="480"/>
        <w:jc w:val="left"/>
        <w:rPr>
          <w:rFonts w:ascii="仿宋" w:hAnsi="仿宋" w:eastAsia="仿宋"/>
          <w:b/>
          <w:bCs/>
          <w:color w:val="auto"/>
          <w:sz w:val="28"/>
          <w:szCs w:val="28"/>
          <w:highlight w:val="none"/>
        </w:rPr>
      </w:pPr>
      <w:r>
        <w:rPr>
          <w:rFonts w:ascii="仿宋" w:hAnsi="仿宋" w:eastAsia="仿宋"/>
          <w:bCs/>
          <w:color w:val="auto"/>
          <w:sz w:val="28"/>
          <w:szCs w:val="28"/>
          <w:highlight w:val="none"/>
        </w:rPr>
        <w:br w:type="page"/>
      </w:r>
      <w:r>
        <w:rPr>
          <w:rFonts w:hint="eastAsia" w:ascii="仿宋" w:hAnsi="仿宋" w:eastAsia="仿宋"/>
          <w:bCs/>
          <w:color w:val="auto"/>
          <w:sz w:val="28"/>
          <w:szCs w:val="28"/>
          <w:highlight w:val="none"/>
        </w:rPr>
        <w:t>（十</w:t>
      </w:r>
      <w:r>
        <w:rPr>
          <w:rFonts w:hint="eastAsia" w:ascii="仿宋" w:hAnsi="仿宋" w:eastAsia="仿宋"/>
          <w:bCs/>
          <w:color w:val="auto"/>
          <w:sz w:val="28"/>
          <w:szCs w:val="28"/>
          <w:highlight w:val="none"/>
          <w:lang w:val="en-US" w:eastAsia="zh-CN"/>
        </w:rPr>
        <w:t>一</w:t>
      </w:r>
      <w:r>
        <w:rPr>
          <w:rFonts w:hint="eastAsia" w:ascii="仿宋" w:hAnsi="仿宋" w:eastAsia="仿宋"/>
          <w:bCs/>
          <w:color w:val="auto"/>
          <w:sz w:val="28"/>
          <w:szCs w:val="28"/>
          <w:highlight w:val="none"/>
        </w:rPr>
        <w:t>）</w:t>
      </w:r>
      <w:r>
        <w:rPr>
          <w:rFonts w:hint="eastAsia" w:ascii="仿宋" w:hAnsi="仿宋" w:eastAsia="仿宋"/>
          <w:color w:val="auto"/>
          <w:sz w:val="28"/>
          <w:szCs w:val="28"/>
          <w:highlight w:val="none"/>
        </w:rPr>
        <w:t>其他资格证明材料</w:t>
      </w:r>
    </w:p>
    <w:p w14:paraId="1F954CD3">
      <w:pPr>
        <w:pStyle w:val="14"/>
        <w:shd w:val="clear" w:color="auto" w:fill="FFFFFF"/>
        <w:spacing w:before="0" w:beforeAutospacing="0" w:after="0" w:afterAutospacing="0" w:line="500" w:lineRule="exact"/>
        <w:ind w:firstLine="567"/>
        <w:textAlignment w:val="baseline"/>
        <w:rPr>
          <w:rFonts w:hint="default" w:ascii="仿宋" w:hAnsi="仿宋" w:eastAsia="仿宋"/>
          <w:b/>
          <w:bCs/>
          <w:color w:val="auto"/>
          <w:sz w:val="28"/>
          <w:szCs w:val="28"/>
          <w:highlight w:val="none"/>
          <w:u w:val="single"/>
          <w:lang w:val="en-US" w:eastAsia="zh-CN"/>
        </w:rPr>
      </w:pPr>
      <w:r>
        <w:rPr>
          <w:rFonts w:hint="eastAsia" w:ascii="仿宋" w:hAnsi="仿宋" w:eastAsia="仿宋" w:cs="Times New Roman"/>
          <w:color w:val="auto"/>
          <w:kern w:val="2"/>
          <w:sz w:val="28"/>
          <w:szCs w:val="28"/>
          <w:highlight w:val="none"/>
        </w:rPr>
        <w:t>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kern w:val="2"/>
          <w:sz w:val="28"/>
          <w:szCs w:val="28"/>
          <w:highlight w:val="none"/>
          <w:lang w:val="en-US" w:eastAsia="zh-CN"/>
        </w:rPr>
        <w:t>响应供应商须提供承诺函，格式自拟，不提供视为无效响应。</w:t>
      </w:r>
    </w:p>
    <w:p w14:paraId="722BA1CD">
      <w:pPr>
        <w:spacing w:before="50" w:afterLines="50"/>
        <w:ind w:firstLine="480"/>
        <w:jc w:val="left"/>
        <w:outlineLvl w:val="9"/>
        <w:rPr>
          <w:rFonts w:hint="eastAsia" w:ascii="仿宋" w:hAnsi="仿宋" w:eastAsia="仿宋"/>
          <w:color w:val="auto"/>
          <w:sz w:val="28"/>
          <w:szCs w:val="28"/>
          <w:highlight w:val="none"/>
        </w:rPr>
      </w:pPr>
    </w:p>
    <w:p w14:paraId="3F5E21EE">
      <w:pPr>
        <w:ind w:firstLine="562" w:firstLineChars="200"/>
        <w:outlineLvl w:val="9"/>
        <w:rPr>
          <w:rFonts w:ascii="仿宋" w:hAnsi="仿宋" w:eastAsia="仿宋"/>
          <w:b/>
          <w:color w:val="auto"/>
          <w:sz w:val="28"/>
          <w:szCs w:val="28"/>
          <w:highlight w:val="none"/>
        </w:rPr>
      </w:pPr>
      <w:r>
        <w:rPr>
          <w:rFonts w:hint="eastAsia" w:ascii="仿宋" w:hAnsi="仿宋" w:eastAsia="仿宋"/>
          <w:b/>
          <w:color w:val="auto"/>
          <w:sz w:val="28"/>
          <w:szCs w:val="28"/>
          <w:highlight w:val="none"/>
        </w:rPr>
        <w:t>注意：以上资格证明文件中要求加盖公章的，必须加盖公章；如供应商组成联合体参加磋商，则联合体各方均须加盖公章，否则视为无效磋商响应文件。</w:t>
      </w:r>
    </w:p>
    <w:p w14:paraId="2BF2B54F">
      <w:pPr>
        <w:ind w:firstLine="560" w:firstLineChars="200"/>
        <w:outlineLvl w:val="1"/>
        <w:rPr>
          <w:rFonts w:ascii="黑体" w:hAnsi="黑体" w:eastAsia="黑体"/>
          <w:bCs/>
          <w:color w:val="auto"/>
          <w:sz w:val="28"/>
          <w:szCs w:val="28"/>
          <w:highlight w:val="none"/>
        </w:rPr>
      </w:pPr>
      <w:r>
        <w:rPr>
          <w:rFonts w:ascii="黑体" w:hAnsi="黑体" w:eastAsia="黑体"/>
          <w:color w:val="auto"/>
          <w:sz w:val="28"/>
          <w:szCs w:val="28"/>
          <w:highlight w:val="none"/>
        </w:rPr>
        <w:br w:type="page"/>
      </w:r>
      <w:bookmarkStart w:id="75" w:name="_Toc17633"/>
      <w:r>
        <w:rPr>
          <w:rFonts w:hint="eastAsia" w:ascii="黑体" w:hAnsi="黑体" w:eastAsia="黑体"/>
          <w:color w:val="auto"/>
          <w:sz w:val="28"/>
          <w:szCs w:val="28"/>
          <w:highlight w:val="none"/>
        </w:rPr>
        <w:t>二、商务技术文件</w:t>
      </w:r>
      <w:bookmarkEnd w:id="75"/>
    </w:p>
    <w:p w14:paraId="64A31F6A">
      <w:pPr>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（一）评分索引表</w:t>
      </w:r>
    </w:p>
    <w:p w14:paraId="1EE40EA6">
      <w:pPr>
        <w:ind w:firstLine="641"/>
        <w:jc w:val="center"/>
        <w:outlineLvl w:val="9"/>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评分索引表</w:t>
      </w:r>
    </w:p>
    <w:p w14:paraId="1A4896C9">
      <w:pPr>
        <w:ind w:firstLine="641"/>
        <w:jc w:val="center"/>
        <w:rPr>
          <w:rFonts w:ascii="仿宋" w:hAnsi="仿宋" w:eastAsia="仿宋"/>
          <w:color w:val="auto"/>
          <w:sz w:val="28"/>
          <w:szCs w:val="28"/>
          <w:highlight w:val="none"/>
        </w:rPr>
      </w:pPr>
      <w:r>
        <w:rPr>
          <w:rFonts w:hint="eastAsia" w:ascii="方正小标宋简体" w:hAnsi="宋体" w:eastAsia="方正小标宋简体"/>
          <w:color w:val="auto"/>
          <w:sz w:val="32"/>
          <w:szCs w:val="32"/>
          <w:highlight w:val="none"/>
          <w:lang w:eastAsia="zh-CN"/>
        </w:rPr>
        <w:t>（</w:t>
      </w:r>
      <w:r>
        <w:rPr>
          <w:rFonts w:hint="eastAsia" w:ascii="方正小标宋简体" w:hAnsi="宋体" w:eastAsia="方正小标宋简体"/>
          <w:color w:val="auto"/>
          <w:sz w:val="32"/>
          <w:szCs w:val="32"/>
          <w:highlight w:val="none"/>
          <w:lang w:val="en-US" w:eastAsia="zh-CN"/>
        </w:rPr>
        <w:t>线上评审无需提供</w:t>
      </w:r>
      <w:r>
        <w:rPr>
          <w:rFonts w:hint="eastAsia" w:ascii="方正小标宋简体" w:hAnsi="宋体" w:eastAsia="方正小标宋简体"/>
          <w:color w:val="auto"/>
          <w:sz w:val="32"/>
          <w:szCs w:val="32"/>
          <w:highlight w:val="none"/>
          <w:lang w:eastAsia="zh-CN"/>
        </w:rPr>
        <w:t>）</w:t>
      </w:r>
    </w:p>
    <w:tbl>
      <w:tblPr>
        <w:tblStyle w:val="16"/>
        <w:tblW w:w="957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30"/>
        <w:gridCol w:w="1900"/>
        <w:gridCol w:w="739"/>
        <w:gridCol w:w="2582"/>
        <w:gridCol w:w="2252"/>
        <w:gridCol w:w="1467"/>
      </w:tblGrid>
      <w:tr w14:paraId="2E7B48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12" w:space="0"/>
              <w:left w:val="single" w:color="auto" w:sz="12" w:space="0"/>
              <w:bottom w:val="single" w:color="auto" w:sz="6" w:space="0"/>
              <w:right w:val="single" w:color="auto" w:sz="6" w:space="0"/>
            </w:tcBorders>
            <w:vAlign w:val="center"/>
          </w:tcPr>
          <w:p w14:paraId="3D55F475">
            <w:pPr>
              <w:adjustRightInd w:val="0"/>
              <w:snapToGrid w:val="0"/>
              <w:jc w:val="center"/>
              <w:outlineLvl w:val="9"/>
              <w:rPr>
                <w:rFonts w:ascii="仿宋" w:hAnsi="仿宋" w:eastAsia="仿宋"/>
                <w:color w:val="auto"/>
                <w:sz w:val="24"/>
                <w:highlight w:val="none"/>
              </w:rPr>
            </w:pPr>
            <w:r>
              <w:rPr>
                <w:rFonts w:hint="eastAsia" w:ascii="仿宋" w:hAnsi="仿宋" w:eastAsia="仿宋"/>
                <w:color w:val="auto"/>
                <w:sz w:val="24"/>
                <w:highlight w:val="none"/>
              </w:rPr>
              <w:t>序号</w:t>
            </w:r>
          </w:p>
        </w:tc>
        <w:tc>
          <w:tcPr>
            <w:tcW w:w="1900" w:type="dxa"/>
            <w:tcBorders>
              <w:top w:val="single" w:color="auto" w:sz="12" w:space="0"/>
              <w:left w:val="single" w:color="auto" w:sz="6" w:space="0"/>
              <w:bottom w:val="single" w:color="auto" w:sz="6" w:space="0"/>
              <w:right w:val="single" w:color="auto" w:sz="6" w:space="0"/>
            </w:tcBorders>
            <w:vAlign w:val="center"/>
          </w:tcPr>
          <w:p w14:paraId="25DE4D2D">
            <w:pPr>
              <w:adjustRightInd w:val="0"/>
              <w:snapToGrid w:val="0"/>
              <w:jc w:val="center"/>
              <w:outlineLvl w:val="9"/>
              <w:rPr>
                <w:rFonts w:ascii="仿宋" w:hAnsi="仿宋" w:eastAsia="仿宋"/>
                <w:color w:val="auto"/>
                <w:sz w:val="24"/>
                <w:highlight w:val="none"/>
              </w:rPr>
            </w:pPr>
            <w:r>
              <w:rPr>
                <w:rFonts w:hint="eastAsia" w:ascii="仿宋" w:hAnsi="仿宋" w:eastAsia="仿宋"/>
                <w:color w:val="auto"/>
                <w:sz w:val="24"/>
                <w:highlight w:val="none"/>
              </w:rPr>
              <w:t>评审因素</w:t>
            </w:r>
          </w:p>
        </w:tc>
        <w:tc>
          <w:tcPr>
            <w:tcW w:w="739" w:type="dxa"/>
            <w:tcBorders>
              <w:top w:val="single" w:color="auto" w:sz="12" w:space="0"/>
              <w:left w:val="single" w:color="auto" w:sz="6" w:space="0"/>
              <w:bottom w:val="single" w:color="auto" w:sz="6" w:space="0"/>
              <w:right w:val="single" w:color="auto" w:sz="6" w:space="0"/>
            </w:tcBorders>
            <w:vAlign w:val="center"/>
          </w:tcPr>
          <w:p w14:paraId="30684256">
            <w:pPr>
              <w:adjustRightInd w:val="0"/>
              <w:snapToGrid w:val="0"/>
              <w:jc w:val="center"/>
              <w:outlineLvl w:val="9"/>
              <w:rPr>
                <w:rFonts w:ascii="仿宋" w:hAnsi="仿宋" w:eastAsia="仿宋"/>
                <w:color w:val="auto"/>
                <w:sz w:val="24"/>
                <w:highlight w:val="none"/>
              </w:rPr>
            </w:pPr>
            <w:r>
              <w:rPr>
                <w:rFonts w:hint="eastAsia" w:ascii="仿宋" w:hAnsi="仿宋" w:eastAsia="仿宋"/>
                <w:color w:val="auto"/>
                <w:sz w:val="24"/>
                <w:highlight w:val="none"/>
              </w:rPr>
              <w:t>分值</w:t>
            </w:r>
          </w:p>
        </w:tc>
        <w:tc>
          <w:tcPr>
            <w:tcW w:w="2582" w:type="dxa"/>
            <w:tcBorders>
              <w:top w:val="single" w:color="auto" w:sz="12" w:space="0"/>
              <w:left w:val="single" w:color="auto" w:sz="6" w:space="0"/>
              <w:bottom w:val="single" w:color="auto" w:sz="6" w:space="0"/>
              <w:right w:val="single" w:color="auto" w:sz="6" w:space="0"/>
            </w:tcBorders>
            <w:vAlign w:val="center"/>
          </w:tcPr>
          <w:p w14:paraId="1F04D5EE">
            <w:pPr>
              <w:adjustRightInd w:val="0"/>
              <w:snapToGrid w:val="0"/>
              <w:jc w:val="center"/>
              <w:outlineLvl w:val="9"/>
              <w:rPr>
                <w:rFonts w:ascii="仿宋" w:hAnsi="仿宋" w:eastAsia="仿宋"/>
                <w:color w:val="auto"/>
                <w:sz w:val="24"/>
                <w:highlight w:val="none"/>
              </w:rPr>
            </w:pPr>
            <w:r>
              <w:rPr>
                <w:rFonts w:hint="eastAsia" w:ascii="仿宋" w:hAnsi="仿宋" w:eastAsia="仿宋"/>
                <w:color w:val="auto"/>
                <w:sz w:val="24"/>
                <w:highlight w:val="none"/>
              </w:rPr>
              <w:t>评审要求或标准</w:t>
            </w:r>
          </w:p>
        </w:tc>
        <w:tc>
          <w:tcPr>
            <w:tcW w:w="2252" w:type="dxa"/>
            <w:tcBorders>
              <w:top w:val="single" w:color="auto" w:sz="12" w:space="0"/>
              <w:left w:val="single" w:color="auto" w:sz="6" w:space="0"/>
              <w:bottom w:val="single" w:color="auto" w:sz="6" w:space="0"/>
              <w:right w:val="single" w:color="auto" w:sz="6" w:space="0"/>
            </w:tcBorders>
            <w:vAlign w:val="center"/>
          </w:tcPr>
          <w:p w14:paraId="0DD5F924">
            <w:pPr>
              <w:adjustRightInd w:val="0"/>
              <w:snapToGrid w:val="0"/>
              <w:jc w:val="center"/>
              <w:outlineLvl w:val="9"/>
              <w:rPr>
                <w:rFonts w:ascii="仿宋" w:hAnsi="仿宋" w:eastAsia="仿宋"/>
                <w:color w:val="auto"/>
                <w:sz w:val="24"/>
                <w:highlight w:val="none"/>
              </w:rPr>
            </w:pPr>
            <w:r>
              <w:rPr>
                <w:rFonts w:hint="eastAsia" w:ascii="仿宋" w:hAnsi="仿宋" w:eastAsia="仿宋"/>
                <w:color w:val="auto"/>
                <w:sz w:val="24"/>
                <w:highlight w:val="none"/>
              </w:rPr>
              <w:t>供应商提供的材料名称</w:t>
            </w:r>
          </w:p>
        </w:tc>
        <w:tc>
          <w:tcPr>
            <w:tcW w:w="1467" w:type="dxa"/>
            <w:tcBorders>
              <w:top w:val="single" w:color="auto" w:sz="12" w:space="0"/>
              <w:left w:val="single" w:color="auto" w:sz="6" w:space="0"/>
              <w:bottom w:val="single" w:color="auto" w:sz="6" w:space="0"/>
              <w:right w:val="single" w:color="auto" w:sz="12" w:space="0"/>
            </w:tcBorders>
            <w:vAlign w:val="center"/>
          </w:tcPr>
          <w:p w14:paraId="18695311">
            <w:pPr>
              <w:adjustRightInd w:val="0"/>
              <w:snapToGrid w:val="0"/>
              <w:jc w:val="center"/>
              <w:outlineLvl w:val="9"/>
              <w:rPr>
                <w:rFonts w:ascii="仿宋" w:hAnsi="仿宋" w:eastAsia="仿宋"/>
                <w:color w:val="auto"/>
                <w:sz w:val="24"/>
                <w:highlight w:val="none"/>
              </w:rPr>
            </w:pPr>
            <w:r>
              <w:rPr>
                <w:rFonts w:hint="eastAsia" w:ascii="仿宋" w:hAnsi="仿宋" w:eastAsia="仿宋"/>
                <w:color w:val="auto"/>
                <w:sz w:val="24"/>
                <w:highlight w:val="none"/>
              </w:rPr>
              <w:t>页码</w:t>
            </w:r>
          </w:p>
        </w:tc>
      </w:tr>
      <w:tr w14:paraId="7CF19A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9" w:hRule="atLeast"/>
        </w:trPr>
        <w:tc>
          <w:tcPr>
            <w:tcW w:w="630" w:type="dxa"/>
            <w:tcBorders>
              <w:top w:val="single" w:color="auto" w:sz="6" w:space="0"/>
              <w:left w:val="single" w:color="auto" w:sz="12" w:space="0"/>
              <w:bottom w:val="single" w:color="auto" w:sz="6" w:space="0"/>
              <w:right w:val="single" w:color="auto" w:sz="6" w:space="0"/>
            </w:tcBorders>
            <w:vAlign w:val="center"/>
          </w:tcPr>
          <w:p w14:paraId="6194CD42">
            <w:pPr>
              <w:adjustRightInd w:val="0"/>
              <w:snapToGrid w:val="0"/>
              <w:jc w:val="center"/>
              <w:outlineLvl w:val="9"/>
              <w:rPr>
                <w:rFonts w:ascii="仿宋" w:hAnsi="仿宋" w:eastAsia="仿宋"/>
                <w:color w:val="auto"/>
                <w:sz w:val="24"/>
                <w:highlight w:val="none"/>
              </w:rPr>
            </w:pPr>
          </w:p>
        </w:tc>
        <w:tc>
          <w:tcPr>
            <w:tcW w:w="1900" w:type="dxa"/>
            <w:tcBorders>
              <w:top w:val="single" w:color="auto" w:sz="6" w:space="0"/>
              <w:left w:val="single" w:color="auto" w:sz="6" w:space="0"/>
              <w:bottom w:val="single" w:color="auto" w:sz="6" w:space="0"/>
              <w:right w:val="single" w:color="auto" w:sz="6" w:space="0"/>
            </w:tcBorders>
            <w:vAlign w:val="center"/>
          </w:tcPr>
          <w:p w14:paraId="3A9284F5">
            <w:pPr>
              <w:adjustRightInd w:val="0"/>
              <w:snapToGrid w:val="0"/>
              <w:jc w:val="center"/>
              <w:outlineLvl w:val="9"/>
              <w:rPr>
                <w:rFonts w:ascii="仿宋" w:hAnsi="仿宋" w:eastAsia="仿宋"/>
                <w:color w:val="auto"/>
                <w:sz w:val="24"/>
                <w:highlight w:val="none"/>
              </w:rPr>
            </w:pPr>
          </w:p>
        </w:tc>
        <w:tc>
          <w:tcPr>
            <w:tcW w:w="739" w:type="dxa"/>
            <w:tcBorders>
              <w:top w:val="single" w:color="auto" w:sz="6" w:space="0"/>
              <w:left w:val="single" w:color="auto" w:sz="6" w:space="0"/>
              <w:bottom w:val="single" w:color="auto" w:sz="6" w:space="0"/>
              <w:right w:val="single" w:color="auto" w:sz="6" w:space="0"/>
            </w:tcBorders>
            <w:vAlign w:val="center"/>
          </w:tcPr>
          <w:p w14:paraId="1FB68CAA">
            <w:pPr>
              <w:adjustRightInd w:val="0"/>
              <w:snapToGrid w:val="0"/>
              <w:jc w:val="center"/>
              <w:outlineLvl w:val="9"/>
              <w:rPr>
                <w:rFonts w:ascii="仿宋" w:hAnsi="仿宋" w:eastAsia="仿宋"/>
                <w:color w:val="auto"/>
                <w:sz w:val="24"/>
                <w:highlight w:val="none"/>
              </w:rPr>
            </w:pPr>
          </w:p>
        </w:tc>
        <w:tc>
          <w:tcPr>
            <w:tcW w:w="2582" w:type="dxa"/>
            <w:tcBorders>
              <w:top w:val="single" w:color="auto" w:sz="6" w:space="0"/>
              <w:left w:val="single" w:color="auto" w:sz="6" w:space="0"/>
              <w:bottom w:val="single" w:color="auto" w:sz="6" w:space="0"/>
              <w:right w:val="single" w:color="auto" w:sz="6" w:space="0"/>
            </w:tcBorders>
            <w:vAlign w:val="center"/>
          </w:tcPr>
          <w:p w14:paraId="55570DD8">
            <w:pPr>
              <w:adjustRightInd w:val="0"/>
              <w:snapToGrid w:val="0"/>
              <w:jc w:val="center"/>
              <w:outlineLvl w:val="9"/>
              <w:rPr>
                <w:rFonts w:ascii="仿宋" w:hAnsi="仿宋" w:eastAsia="仿宋"/>
                <w:color w:val="auto"/>
                <w:sz w:val="24"/>
                <w:highlight w:val="none"/>
              </w:rPr>
            </w:pPr>
          </w:p>
        </w:tc>
        <w:tc>
          <w:tcPr>
            <w:tcW w:w="2252" w:type="dxa"/>
            <w:tcBorders>
              <w:top w:val="single" w:color="auto" w:sz="6" w:space="0"/>
              <w:left w:val="single" w:color="auto" w:sz="6" w:space="0"/>
              <w:bottom w:val="single" w:color="auto" w:sz="6" w:space="0"/>
              <w:right w:val="single" w:color="auto" w:sz="6" w:space="0"/>
            </w:tcBorders>
          </w:tcPr>
          <w:p w14:paraId="274B059D">
            <w:pPr>
              <w:adjustRightInd w:val="0"/>
              <w:snapToGrid w:val="0"/>
              <w:jc w:val="center"/>
              <w:outlineLvl w:val="9"/>
              <w:rPr>
                <w:rFonts w:ascii="仿宋" w:hAnsi="仿宋" w:eastAsia="仿宋"/>
                <w:color w:val="auto"/>
                <w:sz w:val="24"/>
                <w:highlight w:val="none"/>
              </w:rPr>
            </w:pPr>
          </w:p>
        </w:tc>
        <w:tc>
          <w:tcPr>
            <w:tcW w:w="1467" w:type="dxa"/>
            <w:tcBorders>
              <w:top w:val="single" w:color="auto" w:sz="6" w:space="0"/>
              <w:left w:val="single" w:color="auto" w:sz="6" w:space="0"/>
              <w:bottom w:val="single" w:color="auto" w:sz="6" w:space="0"/>
              <w:right w:val="single" w:color="auto" w:sz="12" w:space="0"/>
            </w:tcBorders>
          </w:tcPr>
          <w:p w14:paraId="038EFFE0">
            <w:pPr>
              <w:adjustRightInd w:val="0"/>
              <w:snapToGrid w:val="0"/>
              <w:jc w:val="center"/>
              <w:outlineLvl w:val="9"/>
              <w:rPr>
                <w:rFonts w:ascii="仿宋" w:hAnsi="仿宋" w:eastAsia="仿宋"/>
                <w:color w:val="auto"/>
                <w:sz w:val="24"/>
                <w:highlight w:val="none"/>
              </w:rPr>
            </w:pPr>
          </w:p>
        </w:tc>
      </w:tr>
      <w:tr w14:paraId="493BFE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4F05DF1B">
            <w:pPr>
              <w:adjustRightInd w:val="0"/>
              <w:snapToGrid w:val="0"/>
              <w:jc w:val="center"/>
              <w:outlineLvl w:val="9"/>
              <w:rPr>
                <w:rFonts w:ascii="仿宋" w:hAnsi="仿宋" w:eastAsia="仿宋"/>
                <w:color w:val="auto"/>
                <w:sz w:val="24"/>
                <w:highlight w:val="none"/>
              </w:rPr>
            </w:pPr>
          </w:p>
        </w:tc>
        <w:tc>
          <w:tcPr>
            <w:tcW w:w="1900" w:type="dxa"/>
            <w:tcBorders>
              <w:top w:val="single" w:color="auto" w:sz="6" w:space="0"/>
              <w:left w:val="single" w:color="auto" w:sz="6" w:space="0"/>
              <w:bottom w:val="single" w:color="auto" w:sz="6" w:space="0"/>
              <w:right w:val="single" w:color="auto" w:sz="6" w:space="0"/>
            </w:tcBorders>
            <w:vAlign w:val="center"/>
          </w:tcPr>
          <w:p w14:paraId="361A2F6E">
            <w:pPr>
              <w:adjustRightInd w:val="0"/>
              <w:snapToGrid w:val="0"/>
              <w:jc w:val="center"/>
              <w:outlineLvl w:val="9"/>
              <w:rPr>
                <w:rFonts w:ascii="仿宋" w:hAnsi="仿宋" w:eastAsia="仿宋"/>
                <w:color w:val="auto"/>
                <w:sz w:val="24"/>
                <w:highlight w:val="none"/>
              </w:rPr>
            </w:pPr>
          </w:p>
        </w:tc>
        <w:tc>
          <w:tcPr>
            <w:tcW w:w="739" w:type="dxa"/>
            <w:tcBorders>
              <w:top w:val="single" w:color="auto" w:sz="6" w:space="0"/>
              <w:left w:val="single" w:color="auto" w:sz="6" w:space="0"/>
              <w:bottom w:val="single" w:color="auto" w:sz="6" w:space="0"/>
              <w:right w:val="single" w:color="auto" w:sz="6" w:space="0"/>
            </w:tcBorders>
            <w:vAlign w:val="center"/>
          </w:tcPr>
          <w:p w14:paraId="6FC22B06">
            <w:pPr>
              <w:adjustRightInd w:val="0"/>
              <w:snapToGrid w:val="0"/>
              <w:jc w:val="center"/>
              <w:outlineLvl w:val="9"/>
              <w:rPr>
                <w:rFonts w:ascii="仿宋" w:hAnsi="仿宋" w:eastAsia="仿宋"/>
                <w:color w:val="auto"/>
                <w:sz w:val="24"/>
                <w:highlight w:val="none"/>
              </w:rPr>
            </w:pPr>
          </w:p>
        </w:tc>
        <w:tc>
          <w:tcPr>
            <w:tcW w:w="2582" w:type="dxa"/>
            <w:tcBorders>
              <w:top w:val="single" w:color="auto" w:sz="6" w:space="0"/>
              <w:left w:val="single" w:color="auto" w:sz="6" w:space="0"/>
              <w:bottom w:val="single" w:color="auto" w:sz="6" w:space="0"/>
              <w:right w:val="single" w:color="auto" w:sz="6" w:space="0"/>
            </w:tcBorders>
            <w:vAlign w:val="center"/>
          </w:tcPr>
          <w:p w14:paraId="6EA822DF">
            <w:pPr>
              <w:adjustRightInd w:val="0"/>
              <w:snapToGrid w:val="0"/>
              <w:jc w:val="center"/>
              <w:outlineLvl w:val="9"/>
              <w:rPr>
                <w:rFonts w:ascii="仿宋" w:hAnsi="仿宋" w:eastAsia="仿宋"/>
                <w:color w:val="auto"/>
                <w:sz w:val="24"/>
                <w:highlight w:val="none"/>
              </w:rPr>
            </w:pPr>
          </w:p>
        </w:tc>
        <w:tc>
          <w:tcPr>
            <w:tcW w:w="2252" w:type="dxa"/>
            <w:tcBorders>
              <w:top w:val="single" w:color="auto" w:sz="6" w:space="0"/>
              <w:left w:val="single" w:color="auto" w:sz="6" w:space="0"/>
              <w:bottom w:val="single" w:color="auto" w:sz="6" w:space="0"/>
              <w:right w:val="single" w:color="auto" w:sz="6" w:space="0"/>
            </w:tcBorders>
          </w:tcPr>
          <w:p w14:paraId="42FF3FD0">
            <w:pPr>
              <w:adjustRightInd w:val="0"/>
              <w:snapToGrid w:val="0"/>
              <w:jc w:val="center"/>
              <w:outlineLvl w:val="9"/>
              <w:rPr>
                <w:rFonts w:ascii="仿宋" w:hAnsi="仿宋" w:eastAsia="仿宋"/>
                <w:color w:val="auto"/>
                <w:sz w:val="24"/>
                <w:highlight w:val="none"/>
              </w:rPr>
            </w:pPr>
          </w:p>
        </w:tc>
        <w:tc>
          <w:tcPr>
            <w:tcW w:w="1467" w:type="dxa"/>
            <w:tcBorders>
              <w:top w:val="single" w:color="auto" w:sz="6" w:space="0"/>
              <w:left w:val="single" w:color="auto" w:sz="6" w:space="0"/>
              <w:bottom w:val="single" w:color="auto" w:sz="6" w:space="0"/>
              <w:right w:val="single" w:color="auto" w:sz="12" w:space="0"/>
            </w:tcBorders>
          </w:tcPr>
          <w:p w14:paraId="4B431382">
            <w:pPr>
              <w:adjustRightInd w:val="0"/>
              <w:snapToGrid w:val="0"/>
              <w:jc w:val="center"/>
              <w:outlineLvl w:val="9"/>
              <w:rPr>
                <w:rFonts w:ascii="仿宋" w:hAnsi="仿宋" w:eastAsia="仿宋"/>
                <w:color w:val="auto"/>
                <w:sz w:val="24"/>
                <w:highlight w:val="none"/>
              </w:rPr>
            </w:pPr>
          </w:p>
        </w:tc>
      </w:tr>
      <w:tr w14:paraId="4AFE54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048950F7">
            <w:pPr>
              <w:adjustRightInd w:val="0"/>
              <w:snapToGrid w:val="0"/>
              <w:jc w:val="center"/>
              <w:outlineLvl w:val="9"/>
              <w:rPr>
                <w:rFonts w:ascii="仿宋" w:hAnsi="仿宋" w:eastAsia="仿宋"/>
                <w:color w:val="auto"/>
                <w:sz w:val="24"/>
                <w:highlight w:val="none"/>
              </w:rPr>
            </w:pPr>
          </w:p>
        </w:tc>
        <w:tc>
          <w:tcPr>
            <w:tcW w:w="1900" w:type="dxa"/>
            <w:tcBorders>
              <w:top w:val="single" w:color="auto" w:sz="6" w:space="0"/>
              <w:left w:val="single" w:color="auto" w:sz="6" w:space="0"/>
              <w:bottom w:val="single" w:color="auto" w:sz="6" w:space="0"/>
              <w:right w:val="single" w:color="auto" w:sz="6" w:space="0"/>
            </w:tcBorders>
            <w:vAlign w:val="center"/>
          </w:tcPr>
          <w:p w14:paraId="6D380D85">
            <w:pPr>
              <w:adjustRightInd w:val="0"/>
              <w:snapToGrid w:val="0"/>
              <w:jc w:val="center"/>
              <w:outlineLvl w:val="9"/>
              <w:rPr>
                <w:rFonts w:ascii="仿宋" w:hAnsi="仿宋" w:eastAsia="仿宋"/>
                <w:color w:val="auto"/>
                <w:sz w:val="24"/>
                <w:highlight w:val="none"/>
              </w:rPr>
            </w:pPr>
          </w:p>
        </w:tc>
        <w:tc>
          <w:tcPr>
            <w:tcW w:w="739" w:type="dxa"/>
            <w:tcBorders>
              <w:top w:val="single" w:color="auto" w:sz="6" w:space="0"/>
              <w:left w:val="single" w:color="auto" w:sz="6" w:space="0"/>
              <w:bottom w:val="single" w:color="auto" w:sz="6" w:space="0"/>
              <w:right w:val="single" w:color="auto" w:sz="6" w:space="0"/>
            </w:tcBorders>
            <w:vAlign w:val="center"/>
          </w:tcPr>
          <w:p w14:paraId="190A38E8">
            <w:pPr>
              <w:adjustRightInd w:val="0"/>
              <w:snapToGrid w:val="0"/>
              <w:jc w:val="center"/>
              <w:outlineLvl w:val="9"/>
              <w:rPr>
                <w:rFonts w:ascii="仿宋" w:hAnsi="仿宋" w:eastAsia="仿宋"/>
                <w:color w:val="auto"/>
                <w:sz w:val="24"/>
                <w:highlight w:val="none"/>
              </w:rPr>
            </w:pPr>
          </w:p>
        </w:tc>
        <w:tc>
          <w:tcPr>
            <w:tcW w:w="2582" w:type="dxa"/>
            <w:tcBorders>
              <w:top w:val="single" w:color="auto" w:sz="6" w:space="0"/>
              <w:left w:val="single" w:color="auto" w:sz="6" w:space="0"/>
              <w:bottom w:val="single" w:color="auto" w:sz="6" w:space="0"/>
              <w:right w:val="single" w:color="auto" w:sz="6" w:space="0"/>
            </w:tcBorders>
            <w:vAlign w:val="center"/>
          </w:tcPr>
          <w:p w14:paraId="509EF320">
            <w:pPr>
              <w:adjustRightInd w:val="0"/>
              <w:snapToGrid w:val="0"/>
              <w:jc w:val="center"/>
              <w:outlineLvl w:val="9"/>
              <w:rPr>
                <w:rFonts w:ascii="仿宋" w:hAnsi="仿宋" w:eastAsia="仿宋"/>
                <w:color w:val="auto"/>
                <w:sz w:val="24"/>
                <w:highlight w:val="none"/>
              </w:rPr>
            </w:pPr>
          </w:p>
        </w:tc>
        <w:tc>
          <w:tcPr>
            <w:tcW w:w="2252" w:type="dxa"/>
            <w:tcBorders>
              <w:top w:val="single" w:color="auto" w:sz="6" w:space="0"/>
              <w:left w:val="single" w:color="auto" w:sz="6" w:space="0"/>
              <w:bottom w:val="single" w:color="auto" w:sz="6" w:space="0"/>
              <w:right w:val="single" w:color="auto" w:sz="6" w:space="0"/>
            </w:tcBorders>
          </w:tcPr>
          <w:p w14:paraId="293B47FC">
            <w:pPr>
              <w:adjustRightInd w:val="0"/>
              <w:snapToGrid w:val="0"/>
              <w:jc w:val="center"/>
              <w:outlineLvl w:val="9"/>
              <w:rPr>
                <w:rFonts w:ascii="仿宋" w:hAnsi="仿宋" w:eastAsia="仿宋"/>
                <w:color w:val="auto"/>
                <w:sz w:val="24"/>
                <w:highlight w:val="none"/>
              </w:rPr>
            </w:pPr>
          </w:p>
        </w:tc>
        <w:tc>
          <w:tcPr>
            <w:tcW w:w="1467" w:type="dxa"/>
            <w:tcBorders>
              <w:top w:val="single" w:color="auto" w:sz="6" w:space="0"/>
              <w:left w:val="single" w:color="auto" w:sz="6" w:space="0"/>
              <w:bottom w:val="single" w:color="auto" w:sz="6" w:space="0"/>
              <w:right w:val="single" w:color="auto" w:sz="12" w:space="0"/>
            </w:tcBorders>
          </w:tcPr>
          <w:p w14:paraId="3BFE56EF">
            <w:pPr>
              <w:adjustRightInd w:val="0"/>
              <w:snapToGrid w:val="0"/>
              <w:jc w:val="center"/>
              <w:outlineLvl w:val="9"/>
              <w:rPr>
                <w:rFonts w:ascii="仿宋" w:hAnsi="仿宋" w:eastAsia="仿宋"/>
                <w:color w:val="auto"/>
                <w:sz w:val="24"/>
                <w:highlight w:val="none"/>
              </w:rPr>
            </w:pPr>
          </w:p>
        </w:tc>
      </w:tr>
      <w:tr w14:paraId="238BFD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183E668C">
            <w:pPr>
              <w:adjustRightInd w:val="0"/>
              <w:snapToGrid w:val="0"/>
              <w:jc w:val="center"/>
              <w:outlineLvl w:val="9"/>
              <w:rPr>
                <w:rFonts w:ascii="仿宋" w:hAnsi="仿宋" w:eastAsia="仿宋"/>
                <w:color w:val="auto"/>
                <w:sz w:val="24"/>
                <w:highlight w:val="none"/>
              </w:rPr>
            </w:pPr>
          </w:p>
        </w:tc>
        <w:tc>
          <w:tcPr>
            <w:tcW w:w="1900" w:type="dxa"/>
            <w:tcBorders>
              <w:top w:val="single" w:color="auto" w:sz="6" w:space="0"/>
              <w:left w:val="single" w:color="auto" w:sz="6" w:space="0"/>
              <w:bottom w:val="single" w:color="auto" w:sz="6" w:space="0"/>
              <w:right w:val="single" w:color="auto" w:sz="6" w:space="0"/>
            </w:tcBorders>
            <w:vAlign w:val="center"/>
          </w:tcPr>
          <w:p w14:paraId="1CF560B3">
            <w:pPr>
              <w:adjustRightInd w:val="0"/>
              <w:snapToGrid w:val="0"/>
              <w:jc w:val="center"/>
              <w:outlineLvl w:val="9"/>
              <w:rPr>
                <w:rFonts w:ascii="仿宋" w:hAnsi="仿宋" w:eastAsia="仿宋"/>
                <w:color w:val="auto"/>
                <w:sz w:val="24"/>
                <w:highlight w:val="none"/>
              </w:rPr>
            </w:pPr>
          </w:p>
        </w:tc>
        <w:tc>
          <w:tcPr>
            <w:tcW w:w="739" w:type="dxa"/>
            <w:tcBorders>
              <w:top w:val="single" w:color="auto" w:sz="6" w:space="0"/>
              <w:left w:val="single" w:color="auto" w:sz="6" w:space="0"/>
              <w:bottom w:val="single" w:color="auto" w:sz="6" w:space="0"/>
              <w:right w:val="single" w:color="auto" w:sz="6" w:space="0"/>
            </w:tcBorders>
            <w:vAlign w:val="center"/>
          </w:tcPr>
          <w:p w14:paraId="5582A228">
            <w:pPr>
              <w:adjustRightInd w:val="0"/>
              <w:snapToGrid w:val="0"/>
              <w:jc w:val="center"/>
              <w:outlineLvl w:val="9"/>
              <w:rPr>
                <w:rFonts w:ascii="仿宋" w:hAnsi="仿宋" w:eastAsia="仿宋"/>
                <w:color w:val="auto"/>
                <w:sz w:val="24"/>
                <w:highlight w:val="none"/>
              </w:rPr>
            </w:pPr>
          </w:p>
        </w:tc>
        <w:tc>
          <w:tcPr>
            <w:tcW w:w="2582" w:type="dxa"/>
            <w:tcBorders>
              <w:top w:val="single" w:color="auto" w:sz="6" w:space="0"/>
              <w:left w:val="single" w:color="auto" w:sz="6" w:space="0"/>
              <w:bottom w:val="single" w:color="auto" w:sz="6" w:space="0"/>
              <w:right w:val="single" w:color="auto" w:sz="6" w:space="0"/>
            </w:tcBorders>
            <w:vAlign w:val="center"/>
          </w:tcPr>
          <w:p w14:paraId="63CA2720">
            <w:pPr>
              <w:adjustRightInd w:val="0"/>
              <w:snapToGrid w:val="0"/>
              <w:jc w:val="center"/>
              <w:outlineLvl w:val="9"/>
              <w:rPr>
                <w:rFonts w:ascii="仿宋" w:hAnsi="仿宋" w:eastAsia="仿宋"/>
                <w:color w:val="auto"/>
                <w:sz w:val="24"/>
                <w:highlight w:val="none"/>
              </w:rPr>
            </w:pPr>
          </w:p>
        </w:tc>
        <w:tc>
          <w:tcPr>
            <w:tcW w:w="2252" w:type="dxa"/>
            <w:tcBorders>
              <w:top w:val="single" w:color="auto" w:sz="6" w:space="0"/>
              <w:left w:val="single" w:color="auto" w:sz="6" w:space="0"/>
              <w:bottom w:val="single" w:color="auto" w:sz="6" w:space="0"/>
              <w:right w:val="single" w:color="auto" w:sz="6" w:space="0"/>
            </w:tcBorders>
          </w:tcPr>
          <w:p w14:paraId="6CCC70D8">
            <w:pPr>
              <w:adjustRightInd w:val="0"/>
              <w:snapToGrid w:val="0"/>
              <w:jc w:val="center"/>
              <w:outlineLvl w:val="9"/>
              <w:rPr>
                <w:rFonts w:ascii="仿宋" w:hAnsi="仿宋" w:eastAsia="仿宋"/>
                <w:color w:val="auto"/>
                <w:sz w:val="24"/>
                <w:highlight w:val="none"/>
              </w:rPr>
            </w:pPr>
          </w:p>
        </w:tc>
        <w:tc>
          <w:tcPr>
            <w:tcW w:w="1467" w:type="dxa"/>
            <w:tcBorders>
              <w:top w:val="single" w:color="auto" w:sz="6" w:space="0"/>
              <w:left w:val="single" w:color="auto" w:sz="6" w:space="0"/>
              <w:bottom w:val="single" w:color="auto" w:sz="6" w:space="0"/>
              <w:right w:val="single" w:color="auto" w:sz="12" w:space="0"/>
            </w:tcBorders>
          </w:tcPr>
          <w:p w14:paraId="5E5C6CAA">
            <w:pPr>
              <w:adjustRightInd w:val="0"/>
              <w:snapToGrid w:val="0"/>
              <w:jc w:val="center"/>
              <w:outlineLvl w:val="9"/>
              <w:rPr>
                <w:rFonts w:ascii="仿宋" w:hAnsi="仿宋" w:eastAsia="仿宋"/>
                <w:color w:val="auto"/>
                <w:sz w:val="24"/>
                <w:highlight w:val="none"/>
              </w:rPr>
            </w:pPr>
          </w:p>
        </w:tc>
      </w:tr>
      <w:tr w14:paraId="567421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0AAE1112">
            <w:pPr>
              <w:adjustRightInd w:val="0"/>
              <w:snapToGrid w:val="0"/>
              <w:jc w:val="center"/>
              <w:outlineLvl w:val="9"/>
              <w:rPr>
                <w:rFonts w:ascii="仿宋" w:hAnsi="仿宋" w:eastAsia="仿宋"/>
                <w:color w:val="auto"/>
                <w:sz w:val="24"/>
                <w:highlight w:val="none"/>
              </w:rPr>
            </w:pPr>
          </w:p>
        </w:tc>
        <w:tc>
          <w:tcPr>
            <w:tcW w:w="1900" w:type="dxa"/>
            <w:tcBorders>
              <w:top w:val="single" w:color="auto" w:sz="6" w:space="0"/>
              <w:left w:val="single" w:color="auto" w:sz="6" w:space="0"/>
              <w:bottom w:val="single" w:color="auto" w:sz="6" w:space="0"/>
              <w:right w:val="single" w:color="auto" w:sz="6" w:space="0"/>
            </w:tcBorders>
            <w:vAlign w:val="center"/>
          </w:tcPr>
          <w:p w14:paraId="40B6FDB8">
            <w:pPr>
              <w:adjustRightInd w:val="0"/>
              <w:snapToGrid w:val="0"/>
              <w:jc w:val="center"/>
              <w:outlineLvl w:val="9"/>
              <w:rPr>
                <w:rFonts w:ascii="仿宋" w:hAnsi="仿宋" w:eastAsia="仿宋"/>
                <w:color w:val="auto"/>
                <w:sz w:val="24"/>
                <w:highlight w:val="none"/>
              </w:rPr>
            </w:pPr>
          </w:p>
        </w:tc>
        <w:tc>
          <w:tcPr>
            <w:tcW w:w="739" w:type="dxa"/>
            <w:tcBorders>
              <w:top w:val="single" w:color="auto" w:sz="6" w:space="0"/>
              <w:left w:val="single" w:color="auto" w:sz="6" w:space="0"/>
              <w:bottom w:val="single" w:color="auto" w:sz="6" w:space="0"/>
              <w:right w:val="single" w:color="auto" w:sz="6" w:space="0"/>
            </w:tcBorders>
            <w:vAlign w:val="center"/>
          </w:tcPr>
          <w:p w14:paraId="6D4B8435">
            <w:pPr>
              <w:adjustRightInd w:val="0"/>
              <w:snapToGrid w:val="0"/>
              <w:jc w:val="center"/>
              <w:outlineLvl w:val="9"/>
              <w:rPr>
                <w:rFonts w:ascii="仿宋" w:hAnsi="仿宋" w:eastAsia="仿宋"/>
                <w:color w:val="auto"/>
                <w:sz w:val="24"/>
                <w:highlight w:val="none"/>
              </w:rPr>
            </w:pPr>
          </w:p>
        </w:tc>
        <w:tc>
          <w:tcPr>
            <w:tcW w:w="2582" w:type="dxa"/>
            <w:tcBorders>
              <w:top w:val="single" w:color="auto" w:sz="6" w:space="0"/>
              <w:left w:val="single" w:color="auto" w:sz="6" w:space="0"/>
              <w:bottom w:val="single" w:color="auto" w:sz="6" w:space="0"/>
              <w:right w:val="single" w:color="auto" w:sz="6" w:space="0"/>
            </w:tcBorders>
            <w:vAlign w:val="center"/>
          </w:tcPr>
          <w:p w14:paraId="3A2CD2F4">
            <w:pPr>
              <w:adjustRightInd w:val="0"/>
              <w:snapToGrid w:val="0"/>
              <w:jc w:val="center"/>
              <w:outlineLvl w:val="9"/>
              <w:rPr>
                <w:rFonts w:ascii="仿宋" w:hAnsi="仿宋" w:eastAsia="仿宋"/>
                <w:color w:val="auto"/>
                <w:sz w:val="24"/>
                <w:highlight w:val="none"/>
              </w:rPr>
            </w:pPr>
          </w:p>
        </w:tc>
        <w:tc>
          <w:tcPr>
            <w:tcW w:w="2252" w:type="dxa"/>
            <w:tcBorders>
              <w:top w:val="single" w:color="auto" w:sz="6" w:space="0"/>
              <w:left w:val="single" w:color="auto" w:sz="6" w:space="0"/>
              <w:bottom w:val="single" w:color="auto" w:sz="6" w:space="0"/>
              <w:right w:val="single" w:color="auto" w:sz="6" w:space="0"/>
            </w:tcBorders>
          </w:tcPr>
          <w:p w14:paraId="3CD53A2A">
            <w:pPr>
              <w:adjustRightInd w:val="0"/>
              <w:snapToGrid w:val="0"/>
              <w:jc w:val="center"/>
              <w:outlineLvl w:val="9"/>
              <w:rPr>
                <w:rFonts w:ascii="仿宋" w:hAnsi="仿宋" w:eastAsia="仿宋"/>
                <w:color w:val="auto"/>
                <w:sz w:val="24"/>
                <w:highlight w:val="none"/>
              </w:rPr>
            </w:pPr>
          </w:p>
        </w:tc>
        <w:tc>
          <w:tcPr>
            <w:tcW w:w="1467" w:type="dxa"/>
            <w:tcBorders>
              <w:top w:val="single" w:color="auto" w:sz="6" w:space="0"/>
              <w:left w:val="single" w:color="auto" w:sz="6" w:space="0"/>
              <w:bottom w:val="single" w:color="auto" w:sz="6" w:space="0"/>
              <w:right w:val="single" w:color="auto" w:sz="12" w:space="0"/>
            </w:tcBorders>
          </w:tcPr>
          <w:p w14:paraId="2F30B2B6">
            <w:pPr>
              <w:adjustRightInd w:val="0"/>
              <w:snapToGrid w:val="0"/>
              <w:jc w:val="center"/>
              <w:outlineLvl w:val="9"/>
              <w:rPr>
                <w:rFonts w:ascii="仿宋" w:hAnsi="仿宋" w:eastAsia="仿宋"/>
                <w:color w:val="auto"/>
                <w:sz w:val="24"/>
                <w:highlight w:val="none"/>
              </w:rPr>
            </w:pPr>
          </w:p>
        </w:tc>
      </w:tr>
      <w:tr w14:paraId="590F4A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582F14A0">
            <w:pPr>
              <w:adjustRightInd w:val="0"/>
              <w:snapToGrid w:val="0"/>
              <w:jc w:val="center"/>
              <w:outlineLvl w:val="9"/>
              <w:rPr>
                <w:rFonts w:ascii="仿宋" w:hAnsi="仿宋" w:eastAsia="仿宋"/>
                <w:color w:val="auto"/>
                <w:sz w:val="24"/>
                <w:highlight w:val="none"/>
              </w:rPr>
            </w:pPr>
          </w:p>
        </w:tc>
        <w:tc>
          <w:tcPr>
            <w:tcW w:w="1900" w:type="dxa"/>
            <w:tcBorders>
              <w:top w:val="single" w:color="auto" w:sz="6" w:space="0"/>
              <w:left w:val="single" w:color="auto" w:sz="6" w:space="0"/>
              <w:bottom w:val="single" w:color="auto" w:sz="6" w:space="0"/>
              <w:right w:val="single" w:color="auto" w:sz="6" w:space="0"/>
            </w:tcBorders>
            <w:vAlign w:val="center"/>
          </w:tcPr>
          <w:p w14:paraId="20AB4E0E">
            <w:pPr>
              <w:adjustRightInd w:val="0"/>
              <w:snapToGrid w:val="0"/>
              <w:jc w:val="center"/>
              <w:outlineLvl w:val="9"/>
              <w:rPr>
                <w:rFonts w:ascii="仿宋" w:hAnsi="仿宋" w:eastAsia="仿宋"/>
                <w:color w:val="auto"/>
                <w:sz w:val="24"/>
                <w:highlight w:val="none"/>
              </w:rPr>
            </w:pPr>
          </w:p>
        </w:tc>
        <w:tc>
          <w:tcPr>
            <w:tcW w:w="739" w:type="dxa"/>
            <w:tcBorders>
              <w:top w:val="single" w:color="auto" w:sz="6" w:space="0"/>
              <w:left w:val="single" w:color="auto" w:sz="6" w:space="0"/>
              <w:bottom w:val="single" w:color="auto" w:sz="6" w:space="0"/>
              <w:right w:val="single" w:color="auto" w:sz="6" w:space="0"/>
            </w:tcBorders>
            <w:vAlign w:val="center"/>
          </w:tcPr>
          <w:p w14:paraId="429E0A78">
            <w:pPr>
              <w:adjustRightInd w:val="0"/>
              <w:snapToGrid w:val="0"/>
              <w:jc w:val="center"/>
              <w:outlineLvl w:val="9"/>
              <w:rPr>
                <w:rFonts w:ascii="仿宋" w:hAnsi="仿宋" w:eastAsia="仿宋"/>
                <w:color w:val="auto"/>
                <w:sz w:val="24"/>
                <w:highlight w:val="none"/>
              </w:rPr>
            </w:pPr>
          </w:p>
        </w:tc>
        <w:tc>
          <w:tcPr>
            <w:tcW w:w="2582" w:type="dxa"/>
            <w:tcBorders>
              <w:top w:val="single" w:color="auto" w:sz="6" w:space="0"/>
              <w:left w:val="single" w:color="auto" w:sz="6" w:space="0"/>
              <w:bottom w:val="single" w:color="auto" w:sz="6" w:space="0"/>
              <w:right w:val="single" w:color="auto" w:sz="6" w:space="0"/>
            </w:tcBorders>
            <w:vAlign w:val="center"/>
          </w:tcPr>
          <w:p w14:paraId="58CCACDE">
            <w:pPr>
              <w:adjustRightInd w:val="0"/>
              <w:snapToGrid w:val="0"/>
              <w:jc w:val="center"/>
              <w:outlineLvl w:val="9"/>
              <w:rPr>
                <w:rFonts w:ascii="仿宋" w:hAnsi="仿宋" w:eastAsia="仿宋"/>
                <w:color w:val="auto"/>
                <w:sz w:val="24"/>
                <w:highlight w:val="none"/>
              </w:rPr>
            </w:pPr>
          </w:p>
        </w:tc>
        <w:tc>
          <w:tcPr>
            <w:tcW w:w="2252" w:type="dxa"/>
            <w:tcBorders>
              <w:top w:val="single" w:color="auto" w:sz="6" w:space="0"/>
              <w:left w:val="single" w:color="auto" w:sz="6" w:space="0"/>
              <w:bottom w:val="single" w:color="auto" w:sz="6" w:space="0"/>
              <w:right w:val="single" w:color="auto" w:sz="6" w:space="0"/>
            </w:tcBorders>
          </w:tcPr>
          <w:p w14:paraId="7A22ADFA">
            <w:pPr>
              <w:adjustRightInd w:val="0"/>
              <w:snapToGrid w:val="0"/>
              <w:jc w:val="center"/>
              <w:outlineLvl w:val="9"/>
              <w:rPr>
                <w:rFonts w:ascii="仿宋" w:hAnsi="仿宋" w:eastAsia="仿宋"/>
                <w:color w:val="auto"/>
                <w:sz w:val="24"/>
                <w:highlight w:val="none"/>
              </w:rPr>
            </w:pPr>
          </w:p>
        </w:tc>
        <w:tc>
          <w:tcPr>
            <w:tcW w:w="1467" w:type="dxa"/>
            <w:tcBorders>
              <w:top w:val="single" w:color="auto" w:sz="6" w:space="0"/>
              <w:left w:val="single" w:color="auto" w:sz="6" w:space="0"/>
              <w:bottom w:val="single" w:color="auto" w:sz="6" w:space="0"/>
              <w:right w:val="single" w:color="auto" w:sz="12" w:space="0"/>
            </w:tcBorders>
          </w:tcPr>
          <w:p w14:paraId="7E1667F6">
            <w:pPr>
              <w:adjustRightInd w:val="0"/>
              <w:snapToGrid w:val="0"/>
              <w:jc w:val="center"/>
              <w:outlineLvl w:val="9"/>
              <w:rPr>
                <w:rFonts w:ascii="仿宋" w:hAnsi="仿宋" w:eastAsia="仿宋"/>
                <w:color w:val="auto"/>
                <w:sz w:val="24"/>
                <w:highlight w:val="none"/>
              </w:rPr>
            </w:pPr>
          </w:p>
        </w:tc>
      </w:tr>
      <w:tr w14:paraId="301960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630" w:type="dxa"/>
            <w:tcBorders>
              <w:top w:val="single" w:color="auto" w:sz="6" w:space="0"/>
              <w:left w:val="single" w:color="auto" w:sz="12" w:space="0"/>
              <w:bottom w:val="single" w:color="auto" w:sz="6" w:space="0"/>
              <w:right w:val="single" w:color="auto" w:sz="6" w:space="0"/>
            </w:tcBorders>
            <w:vAlign w:val="center"/>
          </w:tcPr>
          <w:p w14:paraId="71D23680">
            <w:pPr>
              <w:adjustRightInd w:val="0"/>
              <w:snapToGrid w:val="0"/>
              <w:jc w:val="center"/>
              <w:outlineLvl w:val="9"/>
              <w:rPr>
                <w:rFonts w:ascii="仿宋" w:hAnsi="仿宋" w:eastAsia="仿宋"/>
                <w:color w:val="auto"/>
                <w:sz w:val="24"/>
                <w:highlight w:val="none"/>
              </w:rPr>
            </w:pPr>
          </w:p>
        </w:tc>
        <w:tc>
          <w:tcPr>
            <w:tcW w:w="1900" w:type="dxa"/>
            <w:tcBorders>
              <w:top w:val="single" w:color="auto" w:sz="6" w:space="0"/>
              <w:left w:val="single" w:color="auto" w:sz="6" w:space="0"/>
              <w:bottom w:val="single" w:color="auto" w:sz="6" w:space="0"/>
              <w:right w:val="single" w:color="auto" w:sz="6" w:space="0"/>
            </w:tcBorders>
            <w:vAlign w:val="center"/>
          </w:tcPr>
          <w:p w14:paraId="4E64F405">
            <w:pPr>
              <w:adjustRightInd w:val="0"/>
              <w:snapToGrid w:val="0"/>
              <w:jc w:val="center"/>
              <w:outlineLvl w:val="9"/>
              <w:rPr>
                <w:rFonts w:ascii="仿宋" w:hAnsi="仿宋" w:eastAsia="仿宋"/>
                <w:color w:val="auto"/>
                <w:sz w:val="24"/>
                <w:highlight w:val="none"/>
              </w:rPr>
            </w:pPr>
          </w:p>
        </w:tc>
        <w:tc>
          <w:tcPr>
            <w:tcW w:w="739" w:type="dxa"/>
            <w:tcBorders>
              <w:top w:val="single" w:color="auto" w:sz="6" w:space="0"/>
              <w:left w:val="single" w:color="auto" w:sz="6" w:space="0"/>
              <w:bottom w:val="single" w:color="auto" w:sz="6" w:space="0"/>
              <w:right w:val="single" w:color="auto" w:sz="6" w:space="0"/>
            </w:tcBorders>
            <w:vAlign w:val="center"/>
          </w:tcPr>
          <w:p w14:paraId="7FF6472D">
            <w:pPr>
              <w:adjustRightInd w:val="0"/>
              <w:snapToGrid w:val="0"/>
              <w:jc w:val="center"/>
              <w:outlineLvl w:val="9"/>
              <w:rPr>
                <w:rFonts w:ascii="仿宋" w:hAnsi="仿宋" w:eastAsia="仿宋"/>
                <w:color w:val="auto"/>
                <w:sz w:val="24"/>
                <w:highlight w:val="none"/>
              </w:rPr>
            </w:pPr>
          </w:p>
        </w:tc>
        <w:tc>
          <w:tcPr>
            <w:tcW w:w="2582" w:type="dxa"/>
            <w:tcBorders>
              <w:top w:val="single" w:color="auto" w:sz="6" w:space="0"/>
              <w:left w:val="single" w:color="auto" w:sz="6" w:space="0"/>
              <w:bottom w:val="single" w:color="auto" w:sz="6" w:space="0"/>
              <w:right w:val="single" w:color="auto" w:sz="6" w:space="0"/>
            </w:tcBorders>
            <w:vAlign w:val="center"/>
          </w:tcPr>
          <w:p w14:paraId="2C98019A">
            <w:pPr>
              <w:adjustRightInd w:val="0"/>
              <w:snapToGrid w:val="0"/>
              <w:jc w:val="center"/>
              <w:outlineLvl w:val="9"/>
              <w:rPr>
                <w:rFonts w:ascii="仿宋" w:hAnsi="仿宋" w:eastAsia="仿宋"/>
                <w:color w:val="auto"/>
                <w:sz w:val="24"/>
                <w:highlight w:val="none"/>
              </w:rPr>
            </w:pPr>
          </w:p>
        </w:tc>
        <w:tc>
          <w:tcPr>
            <w:tcW w:w="2252" w:type="dxa"/>
            <w:tcBorders>
              <w:top w:val="single" w:color="auto" w:sz="6" w:space="0"/>
              <w:left w:val="single" w:color="auto" w:sz="6" w:space="0"/>
              <w:bottom w:val="single" w:color="auto" w:sz="6" w:space="0"/>
              <w:right w:val="single" w:color="auto" w:sz="6" w:space="0"/>
            </w:tcBorders>
          </w:tcPr>
          <w:p w14:paraId="6A129919">
            <w:pPr>
              <w:adjustRightInd w:val="0"/>
              <w:snapToGrid w:val="0"/>
              <w:jc w:val="center"/>
              <w:outlineLvl w:val="9"/>
              <w:rPr>
                <w:rFonts w:ascii="仿宋" w:hAnsi="仿宋" w:eastAsia="仿宋"/>
                <w:color w:val="auto"/>
                <w:sz w:val="24"/>
                <w:highlight w:val="none"/>
              </w:rPr>
            </w:pPr>
          </w:p>
        </w:tc>
        <w:tc>
          <w:tcPr>
            <w:tcW w:w="1467" w:type="dxa"/>
            <w:tcBorders>
              <w:top w:val="single" w:color="auto" w:sz="6" w:space="0"/>
              <w:left w:val="single" w:color="auto" w:sz="6" w:space="0"/>
              <w:bottom w:val="single" w:color="auto" w:sz="6" w:space="0"/>
              <w:right w:val="single" w:color="auto" w:sz="12" w:space="0"/>
            </w:tcBorders>
          </w:tcPr>
          <w:p w14:paraId="7EE8CEC0">
            <w:pPr>
              <w:adjustRightInd w:val="0"/>
              <w:snapToGrid w:val="0"/>
              <w:jc w:val="center"/>
              <w:outlineLvl w:val="9"/>
              <w:rPr>
                <w:rFonts w:ascii="仿宋" w:hAnsi="仿宋" w:eastAsia="仿宋"/>
                <w:color w:val="auto"/>
                <w:sz w:val="24"/>
                <w:highlight w:val="none"/>
              </w:rPr>
            </w:pPr>
          </w:p>
        </w:tc>
      </w:tr>
    </w:tbl>
    <w:p w14:paraId="72EC7480">
      <w:pPr>
        <w:ind w:firstLine="420" w:firstLineChars="200"/>
        <w:outlineLvl w:val="9"/>
        <w:rPr>
          <w:rFonts w:ascii="仿宋" w:hAnsi="仿宋" w:eastAsia="仿宋"/>
          <w:bCs/>
          <w:color w:val="auto"/>
          <w:sz w:val="28"/>
          <w:szCs w:val="28"/>
          <w:highlight w:val="none"/>
        </w:rPr>
      </w:pPr>
      <w:r>
        <w:rPr>
          <w:rFonts w:hint="eastAsia" w:ascii="仿宋" w:hAnsi="仿宋" w:eastAsia="仿宋"/>
          <w:color w:val="auto"/>
          <w:szCs w:val="21"/>
          <w:highlight w:val="none"/>
        </w:rPr>
        <w:t>注：按照竞争性磋商文件要求详细填列，可增减行。</w:t>
      </w:r>
    </w:p>
    <w:p w14:paraId="3EC497BC">
      <w:pPr>
        <w:ind w:firstLine="560" w:firstLineChars="200"/>
        <w:outlineLvl w:val="9"/>
        <w:rPr>
          <w:rFonts w:ascii="仿宋" w:hAnsi="仿宋" w:eastAsia="仿宋"/>
          <w:bCs/>
          <w:color w:val="auto"/>
          <w:sz w:val="28"/>
          <w:szCs w:val="28"/>
          <w:highlight w:val="none"/>
        </w:rPr>
      </w:pPr>
      <w:r>
        <w:rPr>
          <w:rFonts w:ascii="仿宋" w:hAnsi="仿宋" w:eastAsia="仿宋"/>
          <w:bCs/>
          <w:color w:val="auto"/>
          <w:sz w:val="28"/>
          <w:szCs w:val="28"/>
          <w:highlight w:val="none"/>
        </w:rPr>
        <w:br w:type="page"/>
      </w:r>
    </w:p>
    <w:p w14:paraId="29AA7C6B">
      <w:pPr>
        <w:numPr>
          <w:ilvl w:val="0"/>
          <w:numId w:val="5"/>
        </w:numPr>
        <w:ind w:firstLine="560" w:firstLineChars="200"/>
        <w:outlineLvl w:val="9"/>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符合技术要求或者服务要求的相关证明材料</w:t>
      </w:r>
    </w:p>
    <w:p w14:paraId="148E5784">
      <w:pPr>
        <w:pStyle w:val="14"/>
        <w:numPr>
          <w:ilvl w:val="0"/>
          <w:numId w:val="0"/>
        </w:numPr>
        <w:shd w:val="clear" w:color="auto" w:fill="FFFFFF"/>
        <w:spacing w:before="0" w:beforeAutospacing="0" w:after="0" w:afterAutospacing="0" w:line="500" w:lineRule="exact"/>
        <w:ind w:firstLine="562" w:firstLineChars="200"/>
        <w:textAlignment w:val="baseline"/>
        <w:rPr>
          <w:rFonts w:hint="eastAsia"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1.人员配备</w:t>
      </w:r>
    </w:p>
    <w:p w14:paraId="1A64F80D">
      <w:pPr>
        <w:pStyle w:val="14"/>
        <w:numPr>
          <w:ilvl w:val="0"/>
          <w:numId w:val="0"/>
        </w:numPr>
        <w:shd w:val="clear" w:color="auto" w:fill="FFFFFF"/>
        <w:spacing w:before="0" w:beforeAutospacing="0" w:after="0" w:afterAutospacing="0" w:line="500" w:lineRule="exact"/>
        <w:ind w:firstLine="560" w:firstLineChars="200"/>
        <w:textAlignment w:val="baseline"/>
        <w:rPr>
          <w:rFonts w:hint="default" w:ascii="仿宋" w:hAnsi="仿宋" w:eastAsia="仿宋"/>
          <w:b/>
          <w:bCs/>
          <w:color w:val="auto"/>
          <w:sz w:val="28"/>
          <w:szCs w:val="28"/>
          <w:highlight w:val="none"/>
          <w:lang w:val="en-US" w:eastAsia="zh-CN"/>
        </w:rPr>
      </w:pPr>
      <w:r>
        <w:rPr>
          <w:rFonts w:hint="eastAsia" w:ascii="仿宋" w:hAnsi="仿宋" w:eastAsia="仿宋"/>
          <w:color w:val="auto"/>
          <w:sz w:val="28"/>
          <w:szCs w:val="28"/>
          <w:highlight w:val="none"/>
          <w:lang w:val="en-US" w:eastAsia="zh-CN"/>
        </w:rPr>
        <w:t>响应供应商依法为符合条件的人员缴纳保险，工资不低于江苏省最低工资标准。</w:t>
      </w:r>
      <w:r>
        <w:rPr>
          <w:rFonts w:hint="eastAsia" w:ascii="仿宋" w:hAnsi="仿宋" w:eastAsia="仿宋"/>
          <w:b/>
          <w:bCs/>
          <w:color w:val="auto"/>
          <w:sz w:val="28"/>
          <w:szCs w:val="28"/>
          <w:highlight w:val="none"/>
          <w:lang w:val="en-US" w:eastAsia="zh-CN"/>
        </w:rPr>
        <w:t>须提供下列人员</w:t>
      </w:r>
      <w:r>
        <w:rPr>
          <w:rFonts w:hint="eastAsia" w:ascii="仿宋" w:hAnsi="仿宋" w:eastAsia="仿宋"/>
          <w:b/>
          <w:bCs/>
          <w:iCs/>
          <w:color w:val="auto"/>
          <w:sz w:val="28"/>
          <w:szCs w:val="28"/>
          <w:highlight w:val="none"/>
        </w:rPr>
        <w:t>响应文件提交截止日前最近1个月响应供应商为其缴纳社保的证明；新成立企业距响应文件提交截止日期不足30日的，可不提供缴纳社保的证明（以新办企业营业执照发放日期为准）。</w:t>
      </w:r>
      <w:r>
        <w:rPr>
          <w:rFonts w:hint="eastAsia" w:ascii="仿宋" w:hAnsi="仿宋" w:eastAsia="仿宋" w:cs="仿宋"/>
          <w:b/>
          <w:bCs/>
          <w:color w:val="auto"/>
          <w:sz w:val="28"/>
          <w:szCs w:val="28"/>
          <w:highlight w:val="none"/>
          <w:lang w:val="en-US" w:eastAsia="zh-CN"/>
        </w:rPr>
        <w:t>不提供视为无效响应。</w:t>
      </w:r>
    </w:p>
    <w:p w14:paraId="6B24AFFB">
      <w:pPr>
        <w:pStyle w:val="6"/>
        <w:spacing w:line="56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项目人员配备表</w:t>
      </w:r>
    </w:p>
    <w:tbl>
      <w:tblPr>
        <w:tblStyle w:val="16"/>
        <w:tblW w:w="9998" w:type="dxa"/>
        <w:tblInd w:w="-2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3235"/>
        <w:gridCol w:w="1426"/>
        <w:gridCol w:w="4510"/>
      </w:tblGrid>
      <w:tr w14:paraId="5486A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27" w:type="dxa"/>
            <w:noWrap/>
            <w:vAlign w:val="center"/>
          </w:tcPr>
          <w:p w14:paraId="3B72D0BC">
            <w:pPr>
              <w:widowControl/>
              <w:spacing w:line="50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序号</w:t>
            </w:r>
          </w:p>
        </w:tc>
        <w:tc>
          <w:tcPr>
            <w:tcW w:w="3235" w:type="dxa"/>
            <w:noWrap/>
            <w:vAlign w:val="center"/>
          </w:tcPr>
          <w:p w14:paraId="586FE9EF">
            <w:pPr>
              <w:widowControl/>
              <w:spacing w:line="500" w:lineRule="exact"/>
              <w:jc w:val="center"/>
              <w:rPr>
                <w:rFonts w:hint="eastAsia" w:ascii="仿宋" w:hAnsi="仿宋" w:eastAsia="仿宋" w:cs="仿宋"/>
                <w:b/>
                <w:bCs/>
                <w:color w:val="auto"/>
                <w:sz w:val="24"/>
                <w:szCs w:val="24"/>
                <w:highlight w:val="none"/>
                <w:lang w:bidi="ar"/>
              </w:rPr>
            </w:pPr>
            <w:r>
              <w:rPr>
                <w:rFonts w:hint="eastAsia" w:ascii="仿宋" w:hAnsi="仿宋" w:eastAsia="仿宋" w:cs="仿宋"/>
                <w:b/>
                <w:bCs/>
                <w:color w:val="auto"/>
                <w:sz w:val="24"/>
                <w:szCs w:val="24"/>
                <w:highlight w:val="none"/>
                <w:lang w:bidi="ar"/>
              </w:rPr>
              <w:t>岗位名称</w:t>
            </w:r>
          </w:p>
        </w:tc>
        <w:tc>
          <w:tcPr>
            <w:tcW w:w="1426" w:type="dxa"/>
            <w:noWrap/>
            <w:vAlign w:val="center"/>
          </w:tcPr>
          <w:p w14:paraId="1F873B99">
            <w:pPr>
              <w:widowControl/>
              <w:spacing w:line="50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人数</w:t>
            </w:r>
          </w:p>
        </w:tc>
        <w:tc>
          <w:tcPr>
            <w:tcW w:w="4510" w:type="dxa"/>
            <w:noWrap/>
            <w:vAlign w:val="center"/>
          </w:tcPr>
          <w:p w14:paraId="6586F29F">
            <w:pPr>
              <w:widowControl/>
              <w:spacing w:line="500" w:lineRule="exact"/>
              <w:jc w:val="center"/>
              <w:rPr>
                <w:rFonts w:hint="eastAsia" w:ascii="仿宋" w:hAnsi="仿宋" w:eastAsia="仿宋" w:cs="仿宋"/>
                <w:b/>
                <w:bCs/>
                <w:color w:val="auto"/>
                <w:sz w:val="24"/>
                <w:szCs w:val="24"/>
                <w:highlight w:val="none"/>
                <w:lang w:bidi="ar"/>
              </w:rPr>
            </w:pPr>
            <w:r>
              <w:rPr>
                <w:rFonts w:hint="eastAsia" w:ascii="仿宋" w:hAnsi="仿宋" w:eastAsia="仿宋" w:cs="仿宋"/>
                <w:b/>
                <w:bCs/>
                <w:color w:val="auto"/>
                <w:sz w:val="24"/>
                <w:szCs w:val="24"/>
                <w:highlight w:val="none"/>
                <w:lang w:bidi="ar"/>
              </w:rPr>
              <w:t>备注</w:t>
            </w:r>
          </w:p>
        </w:tc>
      </w:tr>
      <w:tr w14:paraId="16E5E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827" w:type="dxa"/>
            <w:shd w:val="clear" w:color="auto" w:fill="auto"/>
            <w:noWrap/>
            <w:vAlign w:val="center"/>
          </w:tcPr>
          <w:p w14:paraId="5BFBB828">
            <w:pPr>
              <w:widowControl/>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1</w:t>
            </w:r>
          </w:p>
        </w:tc>
        <w:tc>
          <w:tcPr>
            <w:tcW w:w="3235" w:type="dxa"/>
            <w:shd w:val="clear" w:color="auto" w:fill="auto"/>
            <w:noWrap/>
            <w:vAlign w:val="center"/>
          </w:tcPr>
          <w:p w14:paraId="3D01CDFB">
            <w:pPr>
              <w:widowControl/>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项目经理</w:t>
            </w:r>
          </w:p>
        </w:tc>
        <w:tc>
          <w:tcPr>
            <w:tcW w:w="1426" w:type="dxa"/>
            <w:shd w:val="clear" w:color="auto" w:fill="FFFFFF"/>
            <w:noWrap/>
            <w:vAlign w:val="center"/>
          </w:tcPr>
          <w:p w14:paraId="5B496713">
            <w:pPr>
              <w:widowControl/>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1</w:t>
            </w:r>
          </w:p>
        </w:tc>
        <w:tc>
          <w:tcPr>
            <w:tcW w:w="4510" w:type="dxa"/>
            <w:vMerge w:val="restart"/>
            <w:shd w:val="clear" w:color="auto" w:fill="FFFFFF"/>
            <w:noWrap/>
            <w:vAlign w:val="center"/>
          </w:tcPr>
          <w:p w14:paraId="3B5D0054">
            <w:pPr>
              <w:widowControl/>
              <w:spacing w:line="360" w:lineRule="atLeast"/>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具有较强的管理经验和组织能力，上岗前须详细了解作业范围、熟悉现场情况，制定相应的服务工作计划。</w:t>
            </w:r>
          </w:p>
        </w:tc>
      </w:tr>
      <w:tr w14:paraId="26E4E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827" w:type="dxa"/>
            <w:shd w:val="clear" w:color="auto" w:fill="auto"/>
            <w:noWrap/>
            <w:vAlign w:val="center"/>
          </w:tcPr>
          <w:p w14:paraId="653D5592">
            <w:pPr>
              <w:widowControl/>
              <w:spacing w:line="360" w:lineRule="atLeast"/>
              <w:jc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2</w:t>
            </w:r>
          </w:p>
        </w:tc>
        <w:tc>
          <w:tcPr>
            <w:tcW w:w="3235" w:type="dxa"/>
            <w:shd w:val="clear" w:color="auto" w:fill="auto"/>
            <w:noWrap/>
            <w:vAlign w:val="center"/>
          </w:tcPr>
          <w:p w14:paraId="6A13F4C6">
            <w:pPr>
              <w:widowControl/>
              <w:spacing w:line="360" w:lineRule="atLeast"/>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环境</w:t>
            </w:r>
            <w:r>
              <w:rPr>
                <w:rFonts w:hint="eastAsia" w:ascii="仿宋" w:hAnsi="仿宋" w:eastAsia="仿宋" w:cs="仿宋"/>
                <w:color w:val="auto"/>
                <w:sz w:val="24"/>
                <w:szCs w:val="24"/>
                <w:highlight w:val="none"/>
              </w:rPr>
              <w:t>工程师（中级）</w:t>
            </w:r>
          </w:p>
        </w:tc>
        <w:tc>
          <w:tcPr>
            <w:tcW w:w="1426" w:type="dxa"/>
            <w:shd w:val="clear" w:color="auto" w:fill="FFFFFF"/>
            <w:noWrap/>
            <w:vAlign w:val="center"/>
          </w:tcPr>
          <w:p w14:paraId="394B002A">
            <w:pPr>
              <w:widowControl/>
              <w:spacing w:line="360" w:lineRule="atLeast"/>
              <w:jc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1</w:t>
            </w:r>
          </w:p>
        </w:tc>
        <w:tc>
          <w:tcPr>
            <w:tcW w:w="4510" w:type="dxa"/>
            <w:vMerge w:val="continue"/>
            <w:shd w:val="clear" w:color="auto" w:fill="FFFFFF"/>
            <w:noWrap/>
            <w:vAlign w:val="center"/>
          </w:tcPr>
          <w:p w14:paraId="35DC0C34">
            <w:pPr>
              <w:widowControl/>
              <w:spacing w:line="360" w:lineRule="atLeast"/>
              <w:jc w:val="center"/>
              <w:rPr>
                <w:rFonts w:hint="eastAsia" w:ascii="仿宋" w:hAnsi="仿宋" w:eastAsia="仿宋" w:cs="仿宋"/>
                <w:color w:val="auto"/>
                <w:sz w:val="24"/>
                <w:szCs w:val="24"/>
                <w:highlight w:val="none"/>
                <w:lang w:bidi="ar"/>
              </w:rPr>
            </w:pPr>
          </w:p>
        </w:tc>
      </w:tr>
      <w:tr w14:paraId="12D67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27" w:type="dxa"/>
            <w:shd w:val="clear" w:color="auto" w:fill="auto"/>
            <w:noWrap/>
            <w:vAlign w:val="center"/>
          </w:tcPr>
          <w:p w14:paraId="3F54C049">
            <w:pPr>
              <w:widowControl/>
              <w:spacing w:line="360" w:lineRule="atLeast"/>
              <w:jc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3</w:t>
            </w:r>
          </w:p>
        </w:tc>
        <w:tc>
          <w:tcPr>
            <w:tcW w:w="3235" w:type="dxa"/>
            <w:shd w:val="clear" w:color="auto" w:fill="auto"/>
            <w:noWrap/>
            <w:vAlign w:val="center"/>
          </w:tcPr>
          <w:p w14:paraId="40D07568">
            <w:pPr>
              <w:widowControl/>
              <w:spacing w:line="360" w:lineRule="atLeast"/>
              <w:jc w:val="center"/>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lang w:val="en-US" w:eastAsia="zh-CN"/>
              </w:rPr>
              <w:t>污废水处理</w:t>
            </w:r>
            <w:r>
              <w:rPr>
                <w:rFonts w:hint="eastAsia" w:ascii="仿宋" w:hAnsi="仿宋" w:eastAsia="仿宋" w:cs="仿宋"/>
                <w:color w:val="auto"/>
                <w:sz w:val="24"/>
                <w:szCs w:val="24"/>
                <w:highlight w:val="none"/>
              </w:rPr>
              <w:t>人员</w:t>
            </w:r>
          </w:p>
        </w:tc>
        <w:tc>
          <w:tcPr>
            <w:tcW w:w="1426" w:type="dxa"/>
            <w:shd w:val="clear" w:color="auto" w:fill="FFFFFF"/>
            <w:noWrap/>
            <w:vAlign w:val="center"/>
          </w:tcPr>
          <w:p w14:paraId="09DD0DDE">
            <w:pPr>
              <w:widowControl/>
              <w:spacing w:line="360" w:lineRule="atLeast"/>
              <w:jc w:val="center"/>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color w:val="auto"/>
                <w:sz w:val="24"/>
                <w:szCs w:val="24"/>
                <w:highlight w:val="none"/>
                <w:lang w:val="en-US" w:eastAsia="zh-CN" w:bidi="ar"/>
              </w:rPr>
              <w:t>1</w:t>
            </w:r>
          </w:p>
        </w:tc>
        <w:tc>
          <w:tcPr>
            <w:tcW w:w="4510" w:type="dxa"/>
            <w:vMerge w:val="continue"/>
            <w:shd w:val="clear" w:color="auto" w:fill="FFFFFF"/>
            <w:noWrap/>
            <w:vAlign w:val="center"/>
          </w:tcPr>
          <w:p w14:paraId="15030017">
            <w:pPr>
              <w:widowControl/>
              <w:spacing w:line="360" w:lineRule="atLeast"/>
              <w:jc w:val="center"/>
              <w:rPr>
                <w:rFonts w:hint="eastAsia" w:ascii="仿宋" w:hAnsi="仿宋" w:eastAsia="仿宋" w:cs="仿宋"/>
                <w:color w:val="auto"/>
                <w:sz w:val="24"/>
                <w:szCs w:val="24"/>
                <w:highlight w:val="none"/>
                <w:lang w:bidi="ar"/>
              </w:rPr>
            </w:pPr>
          </w:p>
        </w:tc>
      </w:tr>
      <w:tr w14:paraId="13F0F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827" w:type="dxa"/>
            <w:shd w:val="clear" w:color="auto" w:fill="auto"/>
            <w:noWrap/>
            <w:vAlign w:val="center"/>
          </w:tcPr>
          <w:p w14:paraId="7A247B23">
            <w:pPr>
              <w:widowControl/>
              <w:spacing w:line="360" w:lineRule="atLeas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bidi="ar"/>
              </w:rPr>
              <w:t>4</w:t>
            </w:r>
          </w:p>
        </w:tc>
        <w:tc>
          <w:tcPr>
            <w:tcW w:w="3235" w:type="dxa"/>
            <w:shd w:val="clear" w:color="auto" w:fill="auto"/>
            <w:noWrap w:val="0"/>
            <w:vAlign w:val="center"/>
          </w:tcPr>
          <w:p w14:paraId="3406CF9D">
            <w:pPr>
              <w:widowControl/>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现场管理员</w:t>
            </w:r>
            <w:r>
              <w:rPr>
                <w:rFonts w:hint="eastAsia" w:ascii="仿宋" w:hAnsi="仿宋" w:eastAsia="仿宋" w:cs="仿宋"/>
                <w:color w:val="auto"/>
                <w:sz w:val="24"/>
                <w:szCs w:val="24"/>
                <w:highlight w:val="none"/>
                <w:lang w:bidi="ar"/>
              </w:rPr>
              <w:t>（兼安全员）</w:t>
            </w:r>
          </w:p>
        </w:tc>
        <w:tc>
          <w:tcPr>
            <w:tcW w:w="1426" w:type="dxa"/>
            <w:shd w:val="clear" w:color="auto" w:fill="FFFFFF"/>
            <w:noWrap/>
            <w:vAlign w:val="center"/>
          </w:tcPr>
          <w:p w14:paraId="62B5D3B0">
            <w:pPr>
              <w:widowControl/>
              <w:spacing w:line="36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1</w:t>
            </w:r>
          </w:p>
        </w:tc>
        <w:tc>
          <w:tcPr>
            <w:tcW w:w="4510" w:type="dxa"/>
            <w:vMerge w:val="continue"/>
            <w:shd w:val="clear" w:color="auto" w:fill="FFFFFF"/>
            <w:noWrap/>
            <w:vAlign w:val="center"/>
          </w:tcPr>
          <w:p w14:paraId="562B1CCB">
            <w:pPr>
              <w:widowControl/>
              <w:spacing w:line="360" w:lineRule="atLeast"/>
              <w:jc w:val="center"/>
              <w:rPr>
                <w:rFonts w:hint="eastAsia" w:ascii="仿宋" w:hAnsi="仿宋" w:eastAsia="仿宋" w:cs="仿宋"/>
                <w:color w:val="auto"/>
                <w:sz w:val="24"/>
                <w:szCs w:val="24"/>
                <w:highlight w:val="none"/>
                <w:lang w:bidi="ar"/>
              </w:rPr>
            </w:pPr>
          </w:p>
        </w:tc>
      </w:tr>
      <w:tr w14:paraId="23E30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trPr>
        <w:tc>
          <w:tcPr>
            <w:tcW w:w="827" w:type="dxa"/>
            <w:noWrap/>
            <w:vAlign w:val="center"/>
          </w:tcPr>
          <w:p w14:paraId="0A4D48A9">
            <w:pPr>
              <w:widowControl/>
              <w:spacing w:line="360" w:lineRule="atLeast"/>
              <w:jc w:val="center"/>
              <w:rPr>
                <w:rFonts w:hint="eastAsia" w:ascii="仿宋" w:hAnsi="仿宋" w:eastAsia="仿宋" w:cs="仿宋"/>
                <w:color w:val="auto"/>
                <w:sz w:val="24"/>
                <w:szCs w:val="24"/>
                <w:highlight w:val="none"/>
                <w:lang w:eastAsia="zh-CN" w:bidi="ar"/>
              </w:rPr>
            </w:pPr>
            <w:r>
              <w:rPr>
                <w:rFonts w:hint="eastAsia" w:ascii="仿宋" w:hAnsi="仿宋" w:eastAsia="仿宋" w:cs="仿宋"/>
                <w:color w:val="auto"/>
                <w:sz w:val="24"/>
                <w:szCs w:val="24"/>
                <w:highlight w:val="none"/>
                <w:lang w:val="en-US" w:eastAsia="zh-CN" w:bidi="ar"/>
              </w:rPr>
              <w:t>5</w:t>
            </w:r>
          </w:p>
        </w:tc>
        <w:tc>
          <w:tcPr>
            <w:tcW w:w="3235" w:type="dxa"/>
            <w:noWrap/>
            <w:vAlign w:val="center"/>
          </w:tcPr>
          <w:p w14:paraId="111B7D84">
            <w:pPr>
              <w:widowControl/>
              <w:spacing w:line="360" w:lineRule="atLeast"/>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信息化管理员</w:t>
            </w:r>
          </w:p>
        </w:tc>
        <w:tc>
          <w:tcPr>
            <w:tcW w:w="1426" w:type="dxa"/>
            <w:noWrap/>
            <w:vAlign w:val="center"/>
          </w:tcPr>
          <w:p w14:paraId="14E3DB02">
            <w:pPr>
              <w:widowControl/>
              <w:spacing w:line="360" w:lineRule="atLeast"/>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1</w:t>
            </w:r>
          </w:p>
        </w:tc>
        <w:tc>
          <w:tcPr>
            <w:tcW w:w="4510" w:type="dxa"/>
            <w:noWrap/>
            <w:vAlign w:val="center"/>
          </w:tcPr>
          <w:p w14:paraId="2A5BF3A9">
            <w:pPr>
              <w:widowControl/>
              <w:spacing w:line="360" w:lineRule="atLeast"/>
              <w:jc w:val="center"/>
              <w:rPr>
                <w:rFonts w:hint="eastAsia" w:ascii="仿宋" w:hAnsi="仿宋" w:eastAsia="仿宋" w:cs="仿宋"/>
                <w:b w:val="0"/>
                <w:bCs w:val="0"/>
                <w:color w:val="auto"/>
                <w:sz w:val="24"/>
                <w:szCs w:val="24"/>
                <w:highlight w:val="none"/>
                <w:lang w:bidi="ar"/>
              </w:rPr>
            </w:pPr>
            <w:r>
              <w:rPr>
                <w:rFonts w:hint="eastAsia" w:ascii="仿宋" w:hAnsi="仿宋" w:eastAsia="仿宋" w:cs="仿宋"/>
                <w:b w:val="0"/>
                <w:bCs w:val="0"/>
                <w:color w:val="auto"/>
                <w:sz w:val="24"/>
                <w:szCs w:val="24"/>
                <w:highlight w:val="none"/>
              </w:rPr>
              <w:t>建立每日清运台账</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提供上月人员工资打卡、保险缴纳记录，每日清运吨位水印相机照片及所有车辆GPS轨迹记录，照片为站点出发照片、直运电厂接收过磅照片，直运芦沟压缩中心过磅明细，电厂接收票据</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，记录齐全，资料完整。</w:t>
            </w:r>
          </w:p>
        </w:tc>
      </w:tr>
      <w:tr w14:paraId="67D98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827" w:type="dxa"/>
            <w:noWrap/>
            <w:vAlign w:val="center"/>
          </w:tcPr>
          <w:p w14:paraId="498D3257">
            <w:pPr>
              <w:widowControl/>
              <w:spacing w:line="360" w:lineRule="atLeast"/>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6</w:t>
            </w:r>
          </w:p>
        </w:tc>
        <w:tc>
          <w:tcPr>
            <w:tcW w:w="3235" w:type="dxa"/>
            <w:noWrap/>
            <w:vAlign w:val="center"/>
          </w:tcPr>
          <w:p w14:paraId="0611B9B0">
            <w:pPr>
              <w:widowControl/>
              <w:spacing w:line="360" w:lineRule="atLeast"/>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驾驶员</w:t>
            </w:r>
          </w:p>
        </w:tc>
        <w:tc>
          <w:tcPr>
            <w:tcW w:w="1426" w:type="dxa"/>
            <w:noWrap/>
            <w:vAlign w:val="center"/>
          </w:tcPr>
          <w:p w14:paraId="7BB15B1E">
            <w:pPr>
              <w:widowControl/>
              <w:spacing w:line="360" w:lineRule="atLeast"/>
              <w:jc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5</w:t>
            </w:r>
          </w:p>
        </w:tc>
        <w:tc>
          <w:tcPr>
            <w:tcW w:w="4510" w:type="dxa"/>
            <w:noWrap/>
            <w:vAlign w:val="center"/>
          </w:tcPr>
          <w:p w14:paraId="1A190BBB">
            <w:pPr>
              <w:widowControl/>
              <w:spacing w:line="360" w:lineRule="atLeast"/>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
              </w:rPr>
              <w:t>包括</w:t>
            </w:r>
            <w:r>
              <w:rPr>
                <w:rFonts w:hint="eastAsia" w:ascii="仿宋" w:hAnsi="仿宋" w:eastAsia="仿宋" w:cs="仿宋"/>
                <w:b w:val="0"/>
                <w:bCs w:val="0"/>
                <w:color w:val="auto"/>
                <w:sz w:val="24"/>
                <w:szCs w:val="24"/>
                <w:highlight w:val="none"/>
              </w:rPr>
              <w:t>压缩式对接垃圾车</w:t>
            </w:r>
            <w:r>
              <w:rPr>
                <w:rFonts w:hint="eastAsia" w:ascii="仿宋" w:hAnsi="仿宋" w:eastAsia="仿宋" w:cs="仿宋"/>
                <w:b w:val="0"/>
                <w:bCs w:val="0"/>
                <w:color w:val="auto"/>
                <w:sz w:val="24"/>
                <w:szCs w:val="24"/>
                <w:highlight w:val="none"/>
                <w:lang w:val="en-US" w:eastAsia="zh-CN" w:bidi="ar"/>
              </w:rPr>
              <w:t>、</w:t>
            </w:r>
            <w:r>
              <w:rPr>
                <w:rFonts w:hint="eastAsia" w:ascii="仿宋" w:hAnsi="仿宋" w:eastAsia="仿宋" w:cs="仿宋"/>
                <w:b w:val="0"/>
                <w:bCs w:val="0"/>
                <w:color w:val="auto"/>
                <w:sz w:val="24"/>
                <w:szCs w:val="24"/>
                <w:highlight w:val="none"/>
              </w:rPr>
              <w:t>勾臂式垃圾车</w:t>
            </w:r>
            <w:r>
              <w:rPr>
                <w:rFonts w:hint="eastAsia" w:ascii="仿宋" w:hAnsi="仿宋" w:eastAsia="仿宋" w:cs="仿宋"/>
                <w:b w:val="0"/>
                <w:bCs w:val="0"/>
                <w:color w:val="auto"/>
                <w:sz w:val="24"/>
                <w:szCs w:val="24"/>
                <w:highlight w:val="none"/>
                <w:lang w:val="en-US" w:eastAsia="zh-CN" w:bidi="ar"/>
              </w:rPr>
              <w:t>、吸污车、装载机等车辆驾驶人员。</w:t>
            </w:r>
          </w:p>
        </w:tc>
      </w:tr>
      <w:tr w14:paraId="44621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827" w:type="dxa"/>
            <w:noWrap/>
            <w:vAlign w:val="center"/>
          </w:tcPr>
          <w:p w14:paraId="692280C1">
            <w:pPr>
              <w:widowControl/>
              <w:spacing w:line="360" w:lineRule="atLeast"/>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7</w:t>
            </w:r>
          </w:p>
        </w:tc>
        <w:tc>
          <w:tcPr>
            <w:tcW w:w="3235" w:type="dxa"/>
            <w:noWrap/>
            <w:vAlign w:val="center"/>
          </w:tcPr>
          <w:p w14:paraId="6F630CBA">
            <w:pPr>
              <w:widowControl/>
              <w:spacing w:line="360" w:lineRule="atLeast"/>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操作工</w:t>
            </w:r>
          </w:p>
        </w:tc>
        <w:tc>
          <w:tcPr>
            <w:tcW w:w="1426" w:type="dxa"/>
            <w:noWrap/>
            <w:vAlign w:val="center"/>
          </w:tcPr>
          <w:p w14:paraId="1DC3ED98">
            <w:pPr>
              <w:widowControl/>
              <w:spacing w:line="360" w:lineRule="atLeast"/>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5</w:t>
            </w:r>
          </w:p>
        </w:tc>
        <w:tc>
          <w:tcPr>
            <w:tcW w:w="4510" w:type="dxa"/>
            <w:noWrap/>
            <w:vAlign w:val="center"/>
          </w:tcPr>
          <w:p w14:paraId="0F6E591F">
            <w:pPr>
              <w:widowControl/>
              <w:spacing w:line="360" w:lineRule="atLeast"/>
              <w:jc w:val="center"/>
              <w:rPr>
                <w:rFonts w:hint="default" w:ascii="仿宋" w:hAnsi="仿宋" w:eastAsia="仿宋" w:cs="仿宋"/>
                <w:b w:val="0"/>
                <w:bCs w:val="0"/>
                <w:color w:val="auto"/>
                <w:sz w:val="24"/>
                <w:szCs w:val="24"/>
                <w:highlight w:val="none"/>
                <w:lang w:val="en-US"/>
              </w:rPr>
            </w:pPr>
            <w:r>
              <w:rPr>
                <w:rFonts w:hint="eastAsia" w:ascii="仿宋" w:hAnsi="仿宋" w:eastAsia="仿宋" w:cs="仿宋"/>
                <w:b w:val="0"/>
                <w:bCs w:val="0"/>
                <w:color w:val="auto"/>
                <w:sz w:val="24"/>
                <w:szCs w:val="24"/>
                <w:highlight w:val="none"/>
                <w:lang w:val="en-US" w:eastAsia="zh-CN" w:bidi="ar"/>
              </w:rPr>
              <w:t>两个垃圾站内操作人员至少1人具备有限空间作业证</w:t>
            </w:r>
          </w:p>
        </w:tc>
      </w:tr>
      <w:tr w14:paraId="215AF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trPr>
        <w:tc>
          <w:tcPr>
            <w:tcW w:w="827" w:type="dxa"/>
            <w:noWrap/>
            <w:vAlign w:val="center"/>
          </w:tcPr>
          <w:p w14:paraId="19E2B142">
            <w:pPr>
              <w:widowControl/>
              <w:spacing w:line="360" w:lineRule="atLeast"/>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8</w:t>
            </w:r>
          </w:p>
        </w:tc>
        <w:tc>
          <w:tcPr>
            <w:tcW w:w="3235" w:type="dxa"/>
            <w:noWrap/>
            <w:vAlign w:val="center"/>
          </w:tcPr>
          <w:p w14:paraId="779040EC">
            <w:pPr>
              <w:widowControl/>
              <w:spacing w:line="360" w:lineRule="atLeast"/>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值守人员</w:t>
            </w:r>
          </w:p>
        </w:tc>
        <w:tc>
          <w:tcPr>
            <w:tcW w:w="1426" w:type="dxa"/>
            <w:noWrap/>
            <w:vAlign w:val="center"/>
          </w:tcPr>
          <w:p w14:paraId="00441F47">
            <w:pPr>
              <w:widowControl/>
              <w:spacing w:line="360" w:lineRule="atLeast"/>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2</w:t>
            </w:r>
          </w:p>
        </w:tc>
        <w:tc>
          <w:tcPr>
            <w:tcW w:w="4510" w:type="dxa"/>
            <w:noWrap/>
            <w:vAlign w:val="center"/>
          </w:tcPr>
          <w:p w14:paraId="7A9630B3">
            <w:pPr>
              <w:widowControl/>
              <w:spacing w:line="360" w:lineRule="atLeast"/>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负责</w:t>
            </w:r>
            <w:r>
              <w:rPr>
                <w:rFonts w:hint="eastAsia" w:ascii="仿宋" w:hAnsi="仿宋" w:eastAsia="仿宋" w:cs="仿宋"/>
                <w:b w:val="0"/>
                <w:bCs w:val="0"/>
                <w:color w:val="auto"/>
                <w:sz w:val="24"/>
                <w:szCs w:val="24"/>
                <w:highlight w:val="none"/>
                <w:lang w:val="en-US" w:eastAsia="zh-CN"/>
              </w:rPr>
              <w:t>2个</w:t>
            </w:r>
            <w:r>
              <w:rPr>
                <w:rFonts w:hint="eastAsia" w:ascii="仿宋" w:hAnsi="仿宋" w:eastAsia="仿宋" w:cs="仿宋"/>
                <w:b w:val="0"/>
                <w:bCs w:val="0"/>
                <w:color w:val="auto"/>
                <w:sz w:val="24"/>
                <w:szCs w:val="24"/>
                <w:highlight w:val="none"/>
              </w:rPr>
              <w:t>垃圾中转站</w:t>
            </w:r>
            <w:r>
              <w:rPr>
                <w:rFonts w:hint="eastAsia" w:ascii="仿宋" w:hAnsi="仿宋" w:eastAsia="仿宋" w:cs="仿宋"/>
                <w:b w:val="0"/>
                <w:bCs w:val="0"/>
                <w:color w:val="auto"/>
                <w:sz w:val="24"/>
                <w:szCs w:val="24"/>
                <w:highlight w:val="none"/>
                <w:lang w:val="en-US" w:eastAsia="zh-CN"/>
              </w:rPr>
              <w:t>非工作时间</w:t>
            </w:r>
            <w:r>
              <w:rPr>
                <w:rFonts w:hint="eastAsia" w:ascii="仿宋" w:hAnsi="仿宋" w:eastAsia="仿宋" w:cs="仿宋"/>
                <w:b w:val="0"/>
                <w:bCs w:val="0"/>
                <w:color w:val="auto"/>
                <w:sz w:val="24"/>
                <w:szCs w:val="24"/>
                <w:highlight w:val="none"/>
              </w:rPr>
              <w:t>安全值守，做好大门管控、人员车辆登记、站内巡查及防火防盗工作。发现异常及时上报，配合做好应急处置与值班记录。</w:t>
            </w:r>
          </w:p>
        </w:tc>
      </w:tr>
      <w:tr w14:paraId="1858F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4062" w:type="dxa"/>
            <w:gridSpan w:val="2"/>
            <w:noWrap/>
            <w:vAlign w:val="center"/>
          </w:tcPr>
          <w:p w14:paraId="7DB12B37">
            <w:pPr>
              <w:widowControl/>
              <w:spacing w:line="5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合计</w:t>
            </w:r>
          </w:p>
        </w:tc>
        <w:tc>
          <w:tcPr>
            <w:tcW w:w="1426" w:type="dxa"/>
            <w:noWrap/>
            <w:vAlign w:val="center"/>
          </w:tcPr>
          <w:p w14:paraId="074C9E26">
            <w:pPr>
              <w:widowControl/>
              <w:spacing w:line="500" w:lineRule="exact"/>
              <w:jc w:val="center"/>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17</w:t>
            </w:r>
          </w:p>
        </w:tc>
        <w:tc>
          <w:tcPr>
            <w:tcW w:w="4510" w:type="dxa"/>
            <w:noWrap/>
            <w:vAlign w:val="center"/>
          </w:tcPr>
          <w:p w14:paraId="187A6BD9">
            <w:pPr>
              <w:widowControl/>
              <w:spacing w:line="360" w:lineRule="atLeast"/>
              <w:jc w:val="center"/>
              <w:rPr>
                <w:rFonts w:hint="eastAsia" w:ascii="仿宋" w:hAnsi="仿宋" w:eastAsia="仿宋" w:cs="仿宋"/>
                <w:color w:val="auto"/>
                <w:sz w:val="24"/>
                <w:szCs w:val="24"/>
                <w:highlight w:val="none"/>
                <w:lang w:bidi="ar"/>
              </w:rPr>
            </w:pPr>
          </w:p>
        </w:tc>
      </w:tr>
    </w:tbl>
    <w:p w14:paraId="47C014AE">
      <w:pPr>
        <w:pStyle w:val="33"/>
        <w:keepNext w:val="0"/>
        <w:keepLines w:val="0"/>
        <w:pageBreakBefore w:val="0"/>
        <w:widowControl w:val="0"/>
        <w:kinsoku/>
        <w:wordWrap/>
        <w:overflowPunct/>
        <w:topLinePunct w:val="0"/>
        <w:autoSpaceDE/>
        <w:autoSpaceDN/>
        <w:bidi w:val="0"/>
        <w:adjustRightInd/>
        <w:snapToGrid/>
        <w:spacing w:after="0" w:line="500" w:lineRule="exact"/>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备注：</w:t>
      </w:r>
    </w:p>
    <w:p w14:paraId="6AEDDB69">
      <w:pPr>
        <w:pStyle w:val="33"/>
        <w:keepNext w:val="0"/>
        <w:keepLines w:val="0"/>
        <w:pageBreakBefore w:val="0"/>
        <w:widowControl w:val="0"/>
        <w:kinsoku/>
        <w:wordWrap/>
        <w:overflowPunct/>
        <w:topLinePunct w:val="0"/>
        <w:autoSpaceDE/>
        <w:autoSpaceDN/>
        <w:bidi w:val="0"/>
        <w:adjustRightInd/>
        <w:snapToGrid/>
        <w:spacing w:after="0" w:line="500" w:lineRule="exact"/>
        <w:ind w:firstLine="562" w:firstLineChars="200"/>
        <w:jc w:val="left"/>
        <w:textAlignment w:val="auto"/>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①响应供应商</w:t>
      </w:r>
      <w:r>
        <w:rPr>
          <w:rFonts w:hint="eastAsia" w:ascii="仿宋" w:hAnsi="仿宋" w:eastAsia="仿宋" w:cs="仿宋"/>
          <w:b/>
          <w:bCs/>
          <w:color w:val="auto"/>
          <w:sz w:val="28"/>
          <w:szCs w:val="28"/>
          <w:highlight w:val="none"/>
        </w:rPr>
        <w:t>项目组所有人员均须符合行业作业与安全标准。须在项目服务期限内在项目所在地范围内驻点办公并设置停车场地，须做到采购人随叫随到。</w:t>
      </w:r>
      <w:r>
        <w:rPr>
          <w:rFonts w:hint="eastAsia" w:ascii="仿宋" w:hAnsi="仿宋" w:eastAsia="仿宋" w:cs="仿宋"/>
          <w:b/>
          <w:bCs/>
          <w:color w:val="auto"/>
          <w:sz w:val="28"/>
          <w:szCs w:val="28"/>
          <w:highlight w:val="none"/>
          <w:lang w:val="en-US" w:eastAsia="zh-CN"/>
        </w:rPr>
        <w:t>须提供承诺函（格式自拟），不提供视为无效响应。</w:t>
      </w:r>
    </w:p>
    <w:p w14:paraId="28A48A10">
      <w:pPr>
        <w:rPr>
          <w:rFonts w:hint="eastAsia" w:ascii="仿宋" w:hAnsi="仿宋" w:eastAsia="仿宋"/>
          <w:bCs/>
          <w:color w:val="auto"/>
          <w:sz w:val="28"/>
          <w:szCs w:val="28"/>
          <w:highlight w:val="none"/>
          <w:lang w:val="en-US" w:eastAsia="zh-CN"/>
        </w:rPr>
      </w:pPr>
      <w:r>
        <w:rPr>
          <w:rFonts w:hint="eastAsia" w:ascii="仿宋" w:hAnsi="仿宋" w:eastAsia="仿宋"/>
          <w:bCs/>
          <w:color w:val="auto"/>
          <w:sz w:val="28"/>
          <w:szCs w:val="28"/>
          <w:highlight w:val="none"/>
          <w:lang w:val="en-US" w:eastAsia="zh-CN"/>
        </w:rPr>
        <w:br w:type="page"/>
      </w:r>
    </w:p>
    <w:p w14:paraId="7C0DFEC7">
      <w:pPr>
        <w:pStyle w:val="5"/>
        <w:numPr>
          <w:ilvl w:val="0"/>
          <w:numId w:val="0"/>
        </w:numPr>
        <w:spacing w:line="360" w:lineRule="auto"/>
        <w:ind w:firstLine="482" w:firstLineChars="0"/>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lang w:eastAsia="zh-CN"/>
        </w:rPr>
        <w:t>车辆要求</w:t>
      </w:r>
    </w:p>
    <w:p w14:paraId="485821FD">
      <w:pPr>
        <w:pStyle w:val="14"/>
        <w:keepNext w:val="0"/>
        <w:keepLines w:val="0"/>
        <w:widowControl w:val="0"/>
        <w:suppressLineNumbers w:val="0"/>
        <w:spacing w:before="0" w:beforeAutospacing="0" w:after="0" w:afterAutospacing="0"/>
        <w:ind w:left="0" w:right="0"/>
        <w:jc w:val="center"/>
        <w:rPr>
          <w:rFonts w:hint="eastAsia"/>
          <w:color w:val="auto"/>
          <w:highlight w:val="none"/>
          <w:lang w:eastAsia="zh-CN"/>
        </w:rPr>
      </w:pPr>
      <w:r>
        <w:rPr>
          <w:rFonts w:hint="eastAsia" w:ascii="仿宋" w:hAnsi="仿宋" w:eastAsia="仿宋" w:cs="仿宋"/>
          <w:b/>
          <w:bCs/>
          <w:color w:val="auto"/>
          <w:sz w:val="28"/>
          <w:szCs w:val="28"/>
          <w:highlight w:val="none"/>
        </w:rPr>
        <w:t>设备设施最低配置</w:t>
      </w:r>
      <w:r>
        <w:rPr>
          <w:rFonts w:hint="default" w:ascii="仿宋_GB2312" w:hAnsi="Times New Roman" w:eastAsia="仿宋_GB2312" w:cs="仿宋_GB2312"/>
          <w:b/>
          <w:bCs/>
          <w:color w:val="auto"/>
          <w:sz w:val="28"/>
          <w:szCs w:val="28"/>
          <w:highlight w:val="none"/>
          <w:lang w:val="en-US" w:eastAsia="zh-CN" w:bidi="ar"/>
        </w:rPr>
        <w:t>一览表</w:t>
      </w:r>
    </w:p>
    <w:tbl>
      <w:tblPr>
        <w:tblStyle w:val="16"/>
        <w:tblW w:w="91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1047"/>
        <w:gridCol w:w="3543"/>
        <w:gridCol w:w="2070"/>
        <w:gridCol w:w="1219"/>
        <w:gridCol w:w="1238"/>
      </w:tblGrid>
      <w:tr w14:paraId="1A8FF4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78"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37E74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vertAlign w:val="baseline"/>
              </w:rPr>
            </w:pPr>
            <w:r>
              <w:rPr>
                <w:rFonts w:hint="eastAsia" w:ascii="仿宋" w:hAnsi="仿宋" w:eastAsia="仿宋" w:cs="仿宋"/>
                <w:color w:val="auto"/>
                <w:sz w:val="28"/>
                <w:szCs w:val="28"/>
                <w:highlight w:val="none"/>
                <w:vertAlign w:val="baseline"/>
                <w:lang w:val="en-US" w:eastAsia="zh-CN" w:bidi="ar"/>
              </w:rPr>
              <w:t>序号</w:t>
            </w:r>
          </w:p>
        </w:tc>
        <w:tc>
          <w:tcPr>
            <w:tcW w:w="35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664BF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vertAlign w:val="baseline"/>
              </w:rPr>
            </w:pPr>
            <w:r>
              <w:rPr>
                <w:rFonts w:hint="eastAsia" w:ascii="仿宋" w:hAnsi="仿宋" w:eastAsia="仿宋" w:cs="仿宋"/>
                <w:color w:val="auto"/>
                <w:sz w:val="28"/>
                <w:szCs w:val="28"/>
                <w:highlight w:val="none"/>
                <w:vertAlign w:val="baseline"/>
                <w:lang w:val="en-US" w:eastAsia="zh-CN" w:bidi="ar"/>
              </w:rPr>
              <w:t>设备名称</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FF22D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vertAlign w:val="baseline"/>
              </w:rPr>
            </w:pPr>
            <w:r>
              <w:rPr>
                <w:rFonts w:hint="eastAsia" w:ascii="仿宋" w:hAnsi="仿宋" w:eastAsia="仿宋" w:cs="仿宋"/>
                <w:color w:val="auto"/>
                <w:sz w:val="28"/>
                <w:szCs w:val="28"/>
                <w:highlight w:val="none"/>
                <w:vertAlign w:val="baseline"/>
                <w:lang w:val="en-US" w:eastAsia="zh-CN" w:bidi="ar"/>
              </w:rPr>
              <w:t>规格型号</w:t>
            </w:r>
          </w:p>
        </w:tc>
        <w:tc>
          <w:tcPr>
            <w:tcW w:w="12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5912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vertAlign w:val="baseline"/>
              </w:rPr>
            </w:pPr>
            <w:r>
              <w:rPr>
                <w:rFonts w:hint="eastAsia" w:ascii="仿宋" w:hAnsi="仿宋" w:eastAsia="仿宋" w:cs="仿宋"/>
                <w:color w:val="auto"/>
                <w:sz w:val="28"/>
                <w:szCs w:val="28"/>
                <w:highlight w:val="none"/>
                <w:vertAlign w:val="baseline"/>
                <w:lang w:val="en-US" w:eastAsia="zh-CN" w:bidi="ar"/>
              </w:rPr>
              <w:t>数量</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606A4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vertAlign w:val="baseline"/>
              </w:rPr>
            </w:pPr>
            <w:r>
              <w:rPr>
                <w:rFonts w:hint="eastAsia" w:ascii="仿宋" w:hAnsi="仿宋" w:eastAsia="仿宋" w:cs="仿宋"/>
                <w:color w:val="auto"/>
                <w:sz w:val="28"/>
                <w:szCs w:val="28"/>
                <w:highlight w:val="none"/>
                <w:vertAlign w:val="baseline"/>
                <w:lang w:val="en-US" w:eastAsia="zh-CN" w:bidi="ar"/>
              </w:rPr>
              <w:t>单位</w:t>
            </w:r>
          </w:p>
        </w:tc>
      </w:tr>
      <w:tr w14:paraId="7BDD9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9"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CD1EA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vertAlign w:val="baseline"/>
              </w:rPr>
            </w:pPr>
            <w:r>
              <w:rPr>
                <w:rFonts w:hint="eastAsia" w:ascii="仿宋" w:hAnsi="仿宋" w:eastAsia="仿宋" w:cs="仿宋"/>
                <w:color w:val="auto"/>
                <w:sz w:val="28"/>
                <w:szCs w:val="28"/>
                <w:highlight w:val="none"/>
                <w:vertAlign w:val="baseline"/>
                <w:lang w:val="en-US" w:eastAsia="zh-CN" w:bidi="ar"/>
              </w:rPr>
              <w:t>1</w:t>
            </w:r>
          </w:p>
        </w:tc>
        <w:tc>
          <w:tcPr>
            <w:tcW w:w="35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1CF6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vertAlign w:val="baseline"/>
              </w:rPr>
            </w:pPr>
            <w:r>
              <w:rPr>
                <w:rFonts w:hint="eastAsia" w:ascii="仿宋" w:hAnsi="仿宋" w:eastAsia="仿宋" w:cs="仿宋"/>
                <w:color w:val="auto"/>
                <w:sz w:val="28"/>
                <w:szCs w:val="28"/>
                <w:highlight w:val="none"/>
                <w:lang w:val="en-US" w:eastAsia="zh-CN" w:bidi="ar"/>
              </w:rPr>
              <w:t>重型特殊结构货车（垃圾后装压缩车）</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EFCC8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vertAlign w:val="baseline"/>
              </w:rPr>
            </w:pPr>
            <w:r>
              <w:rPr>
                <w:rFonts w:hint="eastAsia" w:ascii="仿宋" w:hAnsi="仿宋" w:eastAsia="仿宋" w:cs="仿宋"/>
                <w:color w:val="auto"/>
                <w:sz w:val="28"/>
                <w:szCs w:val="28"/>
                <w:highlight w:val="none"/>
                <w:lang w:val="en-US" w:eastAsia="zh-CN" w:bidi="ar"/>
              </w:rPr>
              <w:t>10000kg≥总质量</w:t>
            </w:r>
          </w:p>
        </w:tc>
        <w:tc>
          <w:tcPr>
            <w:tcW w:w="12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60C03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vertAlign w:val="baseline"/>
              </w:rPr>
            </w:pPr>
            <w:r>
              <w:rPr>
                <w:rFonts w:hint="eastAsia" w:ascii="仿宋" w:hAnsi="仿宋" w:eastAsia="仿宋" w:cs="仿宋"/>
                <w:color w:val="auto"/>
                <w:sz w:val="28"/>
                <w:szCs w:val="28"/>
                <w:highlight w:val="none"/>
                <w:vertAlign w:val="baseline"/>
                <w:lang w:val="en-US" w:eastAsia="zh-CN" w:bidi="ar"/>
              </w:rPr>
              <w:t>2</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8A2E4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color w:val="auto"/>
                <w:sz w:val="28"/>
                <w:szCs w:val="28"/>
                <w:highlight w:val="none"/>
                <w:vertAlign w:val="baseline"/>
              </w:rPr>
            </w:pPr>
            <w:r>
              <w:rPr>
                <w:rFonts w:hint="eastAsia" w:ascii="仿宋" w:hAnsi="仿宋" w:eastAsia="仿宋" w:cs="仿宋"/>
                <w:color w:val="auto"/>
                <w:sz w:val="28"/>
                <w:szCs w:val="28"/>
                <w:highlight w:val="none"/>
                <w:vertAlign w:val="baseline"/>
                <w:lang w:val="en-US" w:eastAsia="zh-CN" w:bidi="ar"/>
              </w:rPr>
              <w:t>辆</w:t>
            </w:r>
          </w:p>
        </w:tc>
      </w:tr>
      <w:tr w14:paraId="70411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10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0D8EE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default" w:ascii="仿宋" w:hAnsi="仿宋" w:eastAsia="仿宋" w:cs="仿宋"/>
                <w:color w:val="auto"/>
                <w:sz w:val="28"/>
                <w:szCs w:val="28"/>
                <w:highlight w:val="none"/>
                <w:vertAlign w:val="baseline"/>
                <w:lang w:val="en-US" w:eastAsia="zh-CN" w:bidi="ar"/>
              </w:rPr>
            </w:pPr>
            <w:r>
              <w:rPr>
                <w:rFonts w:hint="eastAsia" w:ascii="仿宋" w:hAnsi="仿宋" w:eastAsia="仿宋" w:cs="仿宋"/>
                <w:color w:val="auto"/>
                <w:sz w:val="28"/>
                <w:szCs w:val="28"/>
                <w:highlight w:val="none"/>
                <w:vertAlign w:val="baseline"/>
                <w:lang w:val="en-US" w:eastAsia="zh-CN" w:bidi="ar"/>
              </w:rPr>
              <w:t>2</w:t>
            </w:r>
          </w:p>
        </w:tc>
        <w:tc>
          <w:tcPr>
            <w:tcW w:w="354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A1110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jc w:val="center"/>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装载机</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41B17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leftChars="0" w:right="0" w:rightChars="0"/>
              <w:jc w:val="center"/>
              <w:textAlignment w:val="auto"/>
              <w:rPr>
                <w:rFonts w:hint="default" w:ascii="仿宋" w:hAnsi="仿宋" w:eastAsia="仿宋" w:cs="仿宋"/>
                <w:i w:val="0"/>
                <w:iCs w:val="0"/>
                <w:color w:val="auto"/>
                <w:sz w:val="28"/>
                <w:szCs w:val="28"/>
                <w:highlight w:val="none"/>
                <w:vertAlign w:val="baseline"/>
                <w:lang w:val="en-US" w:eastAsia="zh-CN" w:bidi="ar"/>
              </w:rPr>
            </w:pPr>
            <w:r>
              <w:rPr>
                <w:rFonts w:hint="eastAsia" w:ascii="仿宋" w:hAnsi="仿宋" w:eastAsia="仿宋" w:cs="仿宋"/>
                <w:i w:val="0"/>
                <w:iCs w:val="0"/>
                <w:color w:val="auto"/>
                <w:sz w:val="28"/>
                <w:szCs w:val="28"/>
                <w:highlight w:val="none"/>
                <w:vertAlign w:val="baseline"/>
                <w:lang w:val="en-US" w:eastAsia="zh-CN" w:bidi="ar"/>
              </w:rPr>
              <w:t>/</w:t>
            </w:r>
          </w:p>
        </w:tc>
        <w:tc>
          <w:tcPr>
            <w:tcW w:w="12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C1A40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leftChars="0" w:right="0" w:rightChars="0"/>
              <w:jc w:val="center"/>
              <w:textAlignment w:val="auto"/>
              <w:rPr>
                <w:rFonts w:hint="eastAsia" w:ascii="仿宋" w:hAnsi="仿宋" w:eastAsia="仿宋" w:cs="仿宋"/>
                <w:color w:val="auto"/>
                <w:kern w:val="2"/>
                <w:sz w:val="28"/>
                <w:szCs w:val="28"/>
                <w:highlight w:val="none"/>
                <w:vertAlign w:val="baseline"/>
                <w:lang w:val="en-US" w:eastAsia="zh-CN" w:bidi="ar"/>
              </w:rPr>
            </w:pPr>
            <w:r>
              <w:rPr>
                <w:rFonts w:hint="eastAsia" w:ascii="仿宋" w:hAnsi="仿宋" w:eastAsia="仿宋" w:cs="仿宋"/>
                <w:color w:val="auto"/>
                <w:sz w:val="28"/>
                <w:szCs w:val="28"/>
                <w:highlight w:val="none"/>
                <w:vertAlign w:val="baseline"/>
                <w:lang w:val="en-US" w:eastAsia="zh-CN" w:bidi="ar"/>
              </w:rPr>
              <w:t>1</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D2370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leftChars="0" w:right="0" w:rightChars="0"/>
              <w:jc w:val="center"/>
              <w:textAlignment w:val="auto"/>
              <w:rPr>
                <w:rFonts w:hint="eastAsia" w:ascii="仿宋" w:hAnsi="仿宋" w:eastAsia="仿宋" w:cs="仿宋"/>
                <w:color w:val="auto"/>
                <w:kern w:val="2"/>
                <w:sz w:val="28"/>
                <w:szCs w:val="28"/>
                <w:highlight w:val="none"/>
                <w:vertAlign w:val="baseline"/>
                <w:lang w:val="en-US" w:eastAsia="zh-CN" w:bidi="ar"/>
              </w:rPr>
            </w:pPr>
            <w:r>
              <w:rPr>
                <w:rFonts w:hint="eastAsia" w:ascii="仿宋" w:hAnsi="仿宋" w:eastAsia="仿宋" w:cs="仿宋"/>
                <w:color w:val="auto"/>
                <w:sz w:val="28"/>
                <w:szCs w:val="28"/>
                <w:highlight w:val="none"/>
                <w:vertAlign w:val="baseline"/>
                <w:lang w:val="en-US" w:eastAsia="zh-CN" w:bidi="ar"/>
              </w:rPr>
              <w:t>辆</w:t>
            </w:r>
          </w:p>
        </w:tc>
      </w:tr>
      <w:tr w14:paraId="4DFE5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jc w:val="center"/>
        </w:trPr>
        <w:tc>
          <w:tcPr>
            <w:tcW w:w="6660" w:type="dxa"/>
            <w:gridSpan w:val="3"/>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C0441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leftChars="0" w:right="0" w:rightChars="0"/>
              <w:jc w:val="center"/>
              <w:textAlignment w:val="auto"/>
              <w:rPr>
                <w:rFonts w:hint="eastAsia" w:ascii="仿宋" w:hAnsi="仿宋" w:eastAsia="仿宋" w:cs="仿宋"/>
                <w:i w:val="0"/>
                <w:iCs w:val="0"/>
                <w:color w:val="auto"/>
                <w:sz w:val="28"/>
                <w:szCs w:val="28"/>
                <w:highlight w:val="none"/>
                <w:vertAlign w:val="baseline"/>
                <w:lang w:val="en-US" w:eastAsia="zh-CN" w:bidi="ar"/>
              </w:rPr>
            </w:pPr>
            <w:r>
              <w:rPr>
                <w:rFonts w:hint="eastAsia" w:ascii="仿宋" w:hAnsi="仿宋" w:eastAsia="仿宋" w:cs="仿宋"/>
                <w:color w:val="auto"/>
                <w:sz w:val="28"/>
                <w:szCs w:val="28"/>
                <w:highlight w:val="none"/>
                <w:vertAlign w:val="baseline"/>
                <w:lang w:val="en-US" w:eastAsia="zh-CN" w:bidi="ar"/>
              </w:rPr>
              <w:t>合计</w:t>
            </w:r>
          </w:p>
        </w:tc>
        <w:tc>
          <w:tcPr>
            <w:tcW w:w="12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D46E0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leftChars="0" w:right="0" w:rightChars="0"/>
              <w:jc w:val="center"/>
              <w:textAlignment w:val="auto"/>
              <w:rPr>
                <w:rFonts w:hint="default" w:ascii="仿宋" w:hAnsi="仿宋" w:eastAsia="仿宋" w:cs="仿宋"/>
                <w:color w:val="auto"/>
                <w:sz w:val="28"/>
                <w:szCs w:val="28"/>
                <w:highlight w:val="none"/>
                <w:vertAlign w:val="baseline"/>
                <w:lang w:val="en-US" w:eastAsia="zh-CN" w:bidi="ar"/>
              </w:rPr>
            </w:pPr>
            <w:r>
              <w:rPr>
                <w:rFonts w:hint="eastAsia" w:ascii="仿宋" w:hAnsi="仿宋" w:eastAsia="仿宋" w:cs="仿宋"/>
                <w:color w:val="auto"/>
                <w:sz w:val="28"/>
                <w:szCs w:val="28"/>
                <w:highlight w:val="none"/>
                <w:vertAlign w:val="baseline"/>
                <w:lang w:val="en-US" w:eastAsia="zh-CN" w:bidi="ar"/>
              </w:rPr>
              <w:t>3</w:t>
            </w:r>
          </w:p>
        </w:tc>
        <w:tc>
          <w:tcPr>
            <w:tcW w:w="12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DAADD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leftChars="0" w:right="0" w:rightChars="0"/>
              <w:jc w:val="center"/>
              <w:textAlignment w:val="auto"/>
              <w:rPr>
                <w:rFonts w:hint="eastAsia" w:ascii="仿宋" w:hAnsi="仿宋" w:eastAsia="仿宋" w:cs="仿宋"/>
                <w:color w:val="auto"/>
                <w:sz w:val="28"/>
                <w:szCs w:val="28"/>
                <w:highlight w:val="none"/>
                <w:vertAlign w:val="baseline"/>
                <w:lang w:val="en-US" w:eastAsia="zh-CN" w:bidi="ar"/>
              </w:rPr>
            </w:pPr>
            <w:r>
              <w:rPr>
                <w:rFonts w:hint="eastAsia" w:ascii="仿宋" w:hAnsi="仿宋" w:eastAsia="仿宋" w:cs="仿宋"/>
                <w:color w:val="auto"/>
                <w:sz w:val="28"/>
                <w:szCs w:val="28"/>
                <w:highlight w:val="none"/>
                <w:vertAlign w:val="baseline"/>
                <w:lang w:val="en-US" w:eastAsia="zh-CN" w:bidi="ar"/>
              </w:rPr>
              <w:t>辆</w:t>
            </w:r>
          </w:p>
        </w:tc>
      </w:tr>
    </w:tbl>
    <w:p w14:paraId="09DF0300">
      <w:pPr>
        <w:pStyle w:val="5"/>
        <w:keepNext w:val="0"/>
        <w:keepLines w:val="0"/>
        <w:pageBreakBefore w:val="0"/>
        <w:widowControl w:val="0"/>
        <w:kinsoku/>
        <w:wordWrap/>
        <w:overflowPunct/>
        <w:topLinePunct w:val="0"/>
        <w:autoSpaceDE/>
        <w:autoSpaceDN/>
        <w:bidi w:val="0"/>
        <w:adjustRightInd/>
        <w:snapToGrid w:val="0"/>
        <w:spacing w:line="500" w:lineRule="exact"/>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备注：</w:t>
      </w:r>
    </w:p>
    <w:p w14:paraId="28E89244">
      <w:pPr>
        <w:pStyle w:val="33"/>
        <w:keepNext w:val="0"/>
        <w:keepLines w:val="0"/>
        <w:pageBreakBefore w:val="0"/>
        <w:widowControl w:val="0"/>
        <w:kinsoku/>
        <w:wordWrap/>
        <w:overflowPunct/>
        <w:topLinePunct w:val="0"/>
        <w:autoSpaceDE/>
        <w:autoSpaceDN/>
        <w:bidi w:val="0"/>
        <w:adjustRightInd/>
        <w:snapToGrid/>
        <w:spacing w:after="0" w:line="500" w:lineRule="exact"/>
        <w:ind w:firstLine="562" w:firstLineChars="200"/>
        <w:jc w:val="left"/>
        <w:textAlignment w:val="auto"/>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1.响应供应商</w:t>
      </w:r>
      <w:r>
        <w:rPr>
          <w:rFonts w:hint="eastAsia" w:ascii="仿宋" w:hAnsi="仿宋" w:eastAsia="仿宋" w:cs="仿宋"/>
          <w:b/>
          <w:bCs/>
          <w:color w:val="auto"/>
          <w:sz w:val="28"/>
          <w:szCs w:val="28"/>
          <w:highlight w:val="none"/>
          <w:lang w:eastAsia="zh-CN"/>
        </w:rPr>
        <w:t>至少须常规配备</w:t>
      </w:r>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lang w:eastAsia="zh-CN"/>
        </w:rPr>
        <w:t>辆总质量</w:t>
      </w:r>
      <w:r>
        <w:rPr>
          <w:rFonts w:hint="eastAsia" w:ascii="仿宋" w:hAnsi="仿宋" w:eastAsia="仿宋" w:cs="仿宋"/>
          <w:b/>
          <w:bCs/>
          <w:color w:val="auto"/>
          <w:sz w:val="28"/>
          <w:szCs w:val="28"/>
          <w:highlight w:val="none"/>
          <w:lang w:val="en-US" w:eastAsia="zh-CN"/>
        </w:rPr>
        <w:t>10000kg</w:t>
      </w:r>
      <w:r>
        <w:rPr>
          <w:rFonts w:hint="eastAsia" w:ascii="仿宋" w:hAnsi="仿宋" w:eastAsia="仿宋" w:cs="仿宋"/>
          <w:b/>
          <w:bCs/>
          <w:color w:val="auto"/>
          <w:sz w:val="28"/>
          <w:szCs w:val="28"/>
          <w:highlight w:val="none"/>
          <w:lang w:eastAsia="zh-CN"/>
        </w:rPr>
        <w:t>及以上吨位</w:t>
      </w:r>
      <w:r>
        <w:rPr>
          <w:rFonts w:hint="eastAsia" w:ascii="仿宋" w:hAnsi="仿宋" w:eastAsia="仿宋" w:cs="仿宋"/>
          <w:b/>
          <w:bCs/>
          <w:color w:val="auto"/>
          <w:sz w:val="28"/>
          <w:szCs w:val="28"/>
          <w:highlight w:val="none"/>
          <w:lang w:val="en-US" w:eastAsia="zh-CN"/>
        </w:rPr>
        <w:t>重型特殊结构货车（垃圾后装压缩车）</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1辆装载机，其中除装载机外</w:t>
      </w:r>
      <w:r>
        <w:rPr>
          <w:rFonts w:hint="eastAsia" w:ascii="仿宋" w:hAnsi="仿宋" w:eastAsia="仿宋" w:cs="仿宋"/>
          <w:b/>
          <w:bCs/>
          <w:color w:val="auto"/>
          <w:sz w:val="28"/>
          <w:szCs w:val="28"/>
          <w:highlight w:val="none"/>
          <w:lang w:eastAsia="zh-CN"/>
        </w:rPr>
        <w:t>每辆车需</w:t>
      </w:r>
      <w:r>
        <w:rPr>
          <w:rFonts w:hint="eastAsia" w:ascii="仿宋" w:hAnsi="仿宋" w:eastAsia="仿宋" w:cs="仿宋"/>
          <w:b/>
          <w:bCs/>
          <w:color w:val="auto"/>
          <w:sz w:val="28"/>
          <w:szCs w:val="28"/>
          <w:highlight w:val="none"/>
          <w:lang w:val="en-US" w:eastAsia="zh-CN"/>
        </w:rPr>
        <w:t>纳入智慧环卫管理平台</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能即时体现车辆运行轨迹</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须提供相应车辆有效登记证（登记日期须在项目开标之前）、行驶证、保险单据、购置发票、车辆带牌照的清晰照片。不提供或提供不全视为无效响应。</w:t>
      </w:r>
    </w:p>
    <w:p w14:paraId="5281E31E">
      <w:pPr>
        <w:pStyle w:val="15"/>
        <w:rPr>
          <w:rFonts w:hint="eastAsia" w:ascii="仿宋" w:hAnsi="仿宋" w:eastAsia="仿宋"/>
          <w:bCs/>
          <w:color w:val="auto"/>
          <w:sz w:val="28"/>
          <w:szCs w:val="28"/>
          <w:highlight w:val="none"/>
          <w:lang w:val="en-US" w:eastAsia="zh-CN"/>
        </w:rPr>
      </w:pPr>
    </w:p>
    <w:p w14:paraId="0BDC010E">
      <w:pPr>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br w:type="page"/>
      </w:r>
    </w:p>
    <w:p w14:paraId="7FED6521">
      <w:pPr>
        <w:ind w:firstLine="560" w:firstLineChars="200"/>
        <w:outlineLvl w:val="9"/>
        <w:rPr>
          <w:rFonts w:ascii="仿宋" w:hAnsi="仿宋" w:eastAsia="仿宋"/>
          <w:bCs/>
          <w:color w:val="auto"/>
          <w:sz w:val="28"/>
          <w:szCs w:val="28"/>
          <w:highlight w:val="none"/>
        </w:rPr>
      </w:pPr>
      <w:r>
        <w:rPr>
          <w:rFonts w:hint="eastAsia" w:ascii="仿宋" w:hAnsi="仿宋" w:eastAsia="仿宋"/>
          <w:bCs/>
          <w:color w:val="auto"/>
          <w:sz w:val="28"/>
          <w:szCs w:val="28"/>
          <w:highlight w:val="none"/>
        </w:rPr>
        <w:t>（三）商务部分正负偏离表</w:t>
      </w:r>
    </w:p>
    <w:p w14:paraId="37DA264B">
      <w:pPr>
        <w:jc w:val="center"/>
        <w:outlineLvl w:val="9"/>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商务部分正负偏离表</w:t>
      </w:r>
    </w:p>
    <w:tbl>
      <w:tblPr>
        <w:tblStyle w:val="16"/>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9"/>
        <w:gridCol w:w="1212"/>
        <w:gridCol w:w="4281"/>
        <w:gridCol w:w="1344"/>
        <w:gridCol w:w="1328"/>
        <w:gridCol w:w="716"/>
      </w:tblGrid>
      <w:tr w14:paraId="087C60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72CF3C94">
            <w:pPr>
              <w:snapToGrid w:val="0"/>
              <w:spacing w:beforeLines="50"/>
              <w:jc w:val="center"/>
              <w:outlineLvl w:val="9"/>
              <w:rPr>
                <w:rFonts w:ascii="仿宋" w:hAnsi="仿宋" w:eastAsia="仿宋"/>
                <w:color w:val="auto"/>
                <w:sz w:val="24"/>
                <w:highlight w:val="none"/>
              </w:rPr>
            </w:pPr>
            <w:r>
              <w:rPr>
                <w:rFonts w:hint="eastAsia" w:ascii="仿宋" w:hAnsi="仿宋" w:eastAsia="仿宋"/>
                <w:color w:val="auto"/>
                <w:sz w:val="24"/>
                <w:highlight w:val="none"/>
              </w:rPr>
              <w:t>序号</w:t>
            </w:r>
          </w:p>
        </w:tc>
        <w:tc>
          <w:tcPr>
            <w:tcW w:w="1212" w:type="dxa"/>
            <w:tcBorders>
              <w:top w:val="single" w:color="auto" w:sz="4" w:space="0"/>
              <w:left w:val="single" w:color="auto" w:sz="4" w:space="0"/>
              <w:bottom w:val="single" w:color="auto" w:sz="4" w:space="0"/>
              <w:right w:val="single" w:color="auto" w:sz="4" w:space="0"/>
            </w:tcBorders>
            <w:vAlign w:val="center"/>
          </w:tcPr>
          <w:p w14:paraId="17087CE3">
            <w:pPr>
              <w:snapToGrid w:val="0"/>
              <w:spacing w:beforeLines="50"/>
              <w:jc w:val="center"/>
              <w:outlineLvl w:val="9"/>
              <w:rPr>
                <w:rFonts w:ascii="仿宋" w:hAnsi="仿宋" w:eastAsia="仿宋"/>
                <w:color w:val="auto"/>
                <w:sz w:val="24"/>
                <w:highlight w:val="none"/>
              </w:rPr>
            </w:pPr>
            <w:r>
              <w:rPr>
                <w:rFonts w:hint="eastAsia" w:ascii="仿宋" w:hAnsi="仿宋" w:eastAsia="仿宋"/>
                <w:color w:val="auto"/>
                <w:sz w:val="24"/>
                <w:highlight w:val="none"/>
              </w:rPr>
              <w:t>商务条款</w:t>
            </w:r>
          </w:p>
        </w:tc>
        <w:tc>
          <w:tcPr>
            <w:tcW w:w="4281" w:type="dxa"/>
            <w:tcBorders>
              <w:top w:val="single" w:color="auto" w:sz="4" w:space="0"/>
              <w:left w:val="single" w:color="auto" w:sz="4" w:space="0"/>
              <w:bottom w:val="single" w:color="auto" w:sz="4" w:space="0"/>
              <w:right w:val="single" w:color="auto" w:sz="4" w:space="0"/>
            </w:tcBorders>
            <w:vAlign w:val="center"/>
          </w:tcPr>
          <w:p w14:paraId="369FD115">
            <w:pPr>
              <w:snapToGrid w:val="0"/>
              <w:spacing w:beforeLines="50"/>
              <w:jc w:val="center"/>
              <w:outlineLvl w:val="9"/>
              <w:rPr>
                <w:rFonts w:ascii="仿宋" w:hAnsi="仿宋" w:eastAsia="仿宋"/>
                <w:color w:val="auto"/>
                <w:sz w:val="24"/>
                <w:highlight w:val="none"/>
              </w:rPr>
            </w:pPr>
            <w:r>
              <w:rPr>
                <w:rFonts w:hint="eastAsia" w:ascii="仿宋" w:hAnsi="仿宋" w:eastAsia="仿宋"/>
                <w:color w:val="auto"/>
                <w:sz w:val="24"/>
                <w:highlight w:val="none"/>
              </w:rPr>
              <w:t>竞争性磋商文件要求</w:t>
            </w:r>
          </w:p>
        </w:tc>
        <w:tc>
          <w:tcPr>
            <w:tcW w:w="1344" w:type="dxa"/>
            <w:tcBorders>
              <w:top w:val="single" w:color="auto" w:sz="4" w:space="0"/>
              <w:left w:val="single" w:color="auto" w:sz="4" w:space="0"/>
              <w:bottom w:val="single" w:color="auto" w:sz="4" w:space="0"/>
              <w:right w:val="single" w:color="auto" w:sz="4" w:space="0"/>
            </w:tcBorders>
            <w:vAlign w:val="center"/>
          </w:tcPr>
          <w:p w14:paraId="2B482586">
            <w:pPr>
              <w:snapToGrid w:val="0"/>
              <w:spacing w:beforeLines="50"/>
              <w:jc w:val="center"/>
              <w:outlineLvl w:val="9"/>
              <w:rPr>
                <w:rFonts w:ascii="仿宋" w:hAnsi="仿宋" w:eastAsia="仿宋"/>
                <w:color w:val="auto"/>
                <w:sz w:val="24"/>
                <w:highlight w:val="none"/>
              </w:rPr>
            </w:pPr>
            <w:r>
              <w:rPr>
                <w:rFonts w:hint="eastAsia" w:ascii="仿宋" w:hAnsi="仿宋" w:eastAsia="仿宋"/>
                <w:color w:val="auto"/>
                <w:sz w:val="24"/>
                <w:highlight w:val="none"/>
              </w:rPr>
              <w:t>供应商响应具体情况</w:t>
            </w:r>
          </w:p>
        </w:tc>
        <w:tc>
          <w:tcPr>
            <w:tcW w:w="1328" w:type="dxa"/>
            <w:tcBorders>
              <w:top w:val="single" w:color="auto" w:sz="4" w:space="0"/>
              <w:left w:val="single" w:color="auto" w:sz="4" w:space="0"/>
              <w:bottom w:val="single" w:color="auto" w:sz="4" w:space="0"/>
              <w:right w:val="single" w:color="auto" w:sz="4" w:space="0"/>
            </w:tcBorders>
            <w:vAlign w:val="center"/>
          </w:tcPr>
          <w:p w14:paraId="075095F3">
            <w:pPr>
              <w:jc w:val="center"/>
              <w:outlineLvl w:val="9"/>
              <w:rPr>
                <w:rFonts w:ascii="仿宋" w:hAnsi="仿宋" w:eastAsia="仿宋"/>
                <w:color w:val="auto"/>
                <w:sz w:val="24"/>
                <w:highlight w:val="none"/>
              </w:rPr>
            </w:pPr>
            <w:r>
              <w:rPr>
                <w:rFonts w:hint="eastAsia" w:ascii="仿宋" w:hAnsi="仿宋" w:eastAsia="仿宋"/>
                <w:color w:val="auto"/>
                <w:sz w:val="24"/>
                <w:highlight w:val="none"/>
              </w:rPr>
              <w:t>结论（正偏离、符合或负偏离）</w:t>
            </w:r>
          </w:p>
        </w:tc>
        <w:tc>
          <w:tcPr>
            <w:tcW w:w="716" w:type="dxa"/>
            <w:tcBorders>
              <w:top w:val="single" w:color="auto" w:sz="4" w:space="0"/>
              <w:left w:val="single" w:color="auto" w:sz="4" w:space="0"/>
              <w:bottom w:val="single" w:color="auto" w:sz="4" w:space="0"/>
              <w:right w:val="single" w:color="auto" w:sz="4" w:space="0"/>
            </w:tcBorders>
            <w:vAlign w:val="center"/>
          </w:tcPr>
          <w:p w14:paraId="24545601">
            <w:pPr>
              <w:jc w:val="center"/>
              <w:outlineLvl w:val="9"/>
              <w:rPr>
                <w:rFonts w:ascii="仿宋" w:hAnsi="仿宋" w:eastAsia="仿宋"/>
                <w:color w:val="auto"/>
                <w:sz w:val="24"/>
                <w:highlight w:val="none"/>
              </w:rPr>
            </w:pPr>
            <w:r>
              <w:rPr>
                <w:rFonts w:hint="eastAsia" w:ascii="仿宋" w:hAnsi="仿宋" w:eastAsia="仿宋"/>
                <w:color w:val="auto"/>
                <w:sz w:val="24"/>
                <w:highlight w:val="none"/>
              </w:rPr>
              <w:t>备注</w:t>
            </w:r>
          </w:p>
        </w:tc>
      </w:tr>
      <w:tr w14:paraId="007DCE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54415976">
            <w:pPr>
              <w:snapToGrid w:val="0"/>
              <w:spacing w:beforeLines="50"/>
              <w:jc w:val="center"/>
              <w:outlineLvl w:val="9"/>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1</w:t>
            </w:r>
          </w:p>
        </w:tc>
        <w:tc>
          <w:tcPr>
            <w:tcW w:w="1212" w:type="dxa"/>
            <w:tcBorders>
              <w:top w:val="single" w:color="auto" w:sz="4" w:space="0"/>
              <w:left w:val="single" w:color="auto" w:sz="4" w:space="0"/>
              <w:bottom w:val="single" w:color="auto" w:sz="4" w:space="0"/>
              <w:right w:val="single" w:color="auto" w:sz="4" w:space="0"/>
            </w:tcBorders>
            <w:vAlign w:val="center"/>
          </w:tcPr>
          <w:p w14:paraId="69F75EB8">
            <w:pPr>
              <w:snapToGrid w:val="0"/>
              <w:spacing w:beforeLines="50"/>
              <w:jc w:val="center"/>
              <w:outlineLvl w:val="9"/>
              <w:rPr>
                <w:rFonts w:hint="eastAsia" w:ascii="仿宋" w:hAnsi="仿宋" w:eastAsia="仿宋"/>
                <w:color w:val="auto"/>
                <w:sz w:val="24"/>
                <w:highlight w:val="none"/>
              </w:rPr>
            </w:pPr>
            <w:r>
              <w:rPr>
                <w:rFonts w:hint="eastAsia" w:ascii="仿宋" w:hAnsi="仿宋" w:eastAsia="仿宋"/>
                <w:color w:val="auto"/>
                <w:sz w:val="24"/>
                <w:highlight w:val="none"/>
              </w:rPr>
              <w:t>服务期限</w:t>
            </w:r>
          </w:p>
        </w:tc>
        <w:tc>
          <w:tcPr>
            <w:tcW w:w="4281" w:type="dxa"/>
            <w:tcBorders>
              <w:top w:val="single" w:color="auto" w:sz="4" w:space="0"/>
              <w:left w:val="single" w:color="auto" w:sz="4" w:space="0"/>
              <w:bottom w:val="single" w:color="auto" w:sz="4" w:space="0"/>
              <w:right w:val="single" w:color="auto" w:sz="4" w:space="0"/>
            </w:tcBorders>
          </w:tcPr>
          <w:p w14:paraId="6447F96C">
            <w:pPr>
              <w:snapToGrid w:val="0"/>
              <w:spacing w:beforeLines="50"/>
              <w:jc w:val="left"/>
              <w:outlineLvl w:val="9"/>
              <w:rPr>
                <w:rFonts w:hint="eastAsia" w:ascii="仿宋" w:hAnsi="仿宋" w:eastAsia="仿宋"/>
                <w:color w:val="auto"/>
                <w:sz w:val="24"/>
                <w:highlight w:val="none"/>
              </w:rPr>
            </w:pPr>
            <w:r>
              <w:rPr>
                <w:rFonts w:hint="eastAsia" w:ascii="仿宋" w:hAnsi="仿宋" w:eastAsia="仿宋"/>
                <w:color w:val="auto"/>
                <w:sz w:val="24"/>
                <w:highlight w:val="none"/>
              </w:rPr>
              <w:t>服务期拟定三年，合同一年一签，具体时间以采购人通知为准。第一年合同期满后，经采购人组织相关部门对履约情况进行验收，如服务良好，在不改变服务要求和服务价格前提下，采购人可与成交人按年续签合同，续签不超过两次。</w:t>
            </w:r>
          </w:p>
        </w:tc>
        <w:tc>
          <w:tcPr>
            <w:tcW w:w="1344" w:type="dxa"/>
            <w:tcBorders>
              <w:top w:val="single" w:color="auto" w:sz="4" w:space="0"/>
              <w:left w:val="single" w:color="auto" w:sz="4" w:space="0"/>
              <w:bottom w:val="single" w:color="auto" w:sz="4" w:space="0"/>
              <w:right w:val="single" w:color="auto" w:sz="4" w:space="0"/>
            </w:tcBorders>
          </w:tcPr>
          <w:p w14:paraId="6048CD68">
            <w:pPr>
              <w:snapToGrid w:val="0"/>
              <w:spacing w:beforeLines="50"/>
              <w:jc w:val="center"/>
              <w:outlineLvl w:val="9"/>
              <w:rPr>
                <w:rFonts w:hint="eastAsia" w:ascii="仿宋" w:hAnsi="仿宋" w:eastAsia="仿宋"/>
                <w:color w:val="auto"/>
                <w:sz w:val="24"/>
                <w:highlight w:val="none"/>
              </w:rPr>
            </w:pPr>
          </w:p>
        </w:tc>
        <w:tc>
          <w:tcPr>
            <w:tcW w:w="1328" w:type="dxa"/>
            <w:tcBorders>
              <w:top w:val="single" w:color="auto" w:sz="4" w:space="0"/>
              <w:left w:val="single" w:color="auto" w:sz="4" w:space="0"/>
              <w:bottom w:val="single" w:color="auto" w:sz="4" w:space="0"/>
              <w:right w:val="single" w:color="auto" w:sz="4" w:space="0"/>
            </w:tcBorders>
          </w:tcPr>
          <w:p w14:paraId="7387944C">
            <w:pPr>
              <w:snapToGrid w:val="0"/>
              <w:spacing w:beforeLines="50"/>
              <w:jc w:val="center"/>
              <w:outlineLvl w:val="9"/>
              <w:rPr>
                <w:rFonts w:hint="eastAsia" w:ascii="仿宋" w:hAnsi="仿宋" w:eastAsia="仿宋"/>
                <w:color w:val="auto"/>
                <w:sz w:val="24"/>
                <w:highlight w:val="none"/>
              </w:rPr>
            </w:pPr>
          </w:p>
        </w:tc>
        <w:tc>
          <w:tcPr>
            <w:tcW w:w="716" w:type="dxa"/>
            <w:tcBorders>
              <w:top w:val="single" w:color="auto" w:sz="4" w:space="0"/>
              <w:left w:val="single" w:color="auto" w:sz="4" w:space="0"/>
              <w:bottom w:val="single" w:color="auto" w:sz="4" w:space="0"/>
              <w:right w:val="single" w:color="auto" w:sz="4" w:space="0"/>
            </w:tcBorders>
          </w:tcPr>
          <w:p w14:paraId="0D382A62">
            <w:pPr>
              <w:snapToGrid w:val="0"/>
              <w:spacing w:beforeLines="50"/>
              <w:jc w:val="center"/>
              <w:outlineLvl w:val="9"/>
              <w:rPr>
                <w:rFonts w:hint="eastAsia" w:ascii="仿宋" w:hAnsi="仿宋" w:eastAsia="仿宋"/>
                <w:color w:val="auto"/>
                <w:sz w:val="24"/>
                <w:highlight w:val="none"/>
              </w:rPr>
            </w:pPr>
          </w:p>
        </w:tc>
      </w:tr>
      <w:tr w14:paraId="04E557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17508375">
            <w:pPr>
              <w:snapToGrid w:val="0"/>
              <w:spacing w:beforeLines="50"/>
              <w:jc w:val="center"/>
              <w:outlineLvl w:val="9"/>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2</w:t>
            </w:r>
          </w:p>
        </w:tc>
        <w:tc>
          <w:tcPr>
            <w:tcW w:w="1212" w:type="dxa"/>
            <w:tcBorders>
              <w:top w:val="single" w:color="auto" w:sz="4" w:space="0"/>
              <w:left w:val="single" w:color="auto" w:sz="4" w:space="0"/>
              <w:bottom w:val="single" w:color="auto" w:sz="4" w:space="0"/>
              <w:right w:val="single" w:color="auto" w:sz="4" w:space="0"/>
            </w:tcBorders>
          </w:tcPr>
          <w:p w14:paraId="7CB49759">
            <w:pPr>
              <w:snapToGrid w:val="0"/>
              <w:spacing w:beforeLines="50"/>
              <w:jc w:val="center"/>
              <w:outlineLvl w:val="9"/>
              <w:rPr>
                <w:rFonts w:hint="eastAsia" w:ascii="仿宋" w:hAnsi="仿宋" w:eastAsia="仿宋"/>
                <w:color w:val="auto"/>
                <w:sz w:val="24"/>
                <w:highlight w:val="none"/>
              </w:rPr>
            </w:pPr>
            <w:r>
              <w:rPr>
                <w:rFonts w:hint="eastAsia" w:ascii="仿宋" w:hAnsi="仿宋" w:eastAsia="仿宋"/>
                <w:color w:val="auto"/>
                <w:sz w:val="24"/>
                <w:highlight w:val="none"/>
              </w:rPr>
              <w:t>地点</w:t>
            </w:r>
          </w:p>
        </w:tc>
        <w:tc>
          <w:tcPr>
            <w:tcW w:w="4281" w:type="dxa"/>
            <w:tcBorders>
              <w:top w:val="single" w:color="auto" w:sz="4" w:space="0"/>
              <w:left w:val="single" w:color="auto" w:sz="4" w:space="0"/>
              <w:bottom w:val="single" w:color="auto" w:sz="4" w:space="0"/>
              <w:right w:val="single" w:color="auto" w:sz="4" w:space="0"/>
            </w:tcBorders>
          </w:tcPr>
          <w:p w14:paraId="77B5ED2D">
            <w:pPr>
              <w:snapToGrid w:val="0"/>
              <w:spacing w:beforeLines="50"/>
              <w:jc w:val="left"/>
              <w:outlineLvl w:val="9"/>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采购人指定地点</w:t>
            </w:r>
          </w:p>
        </w:tc>
        <w:tc>
          <w:tcPr>
            <w:tcW w:w="1344" w:type="dxa"/>
            <w:tcBorders>
              <w:top w:val="single" w:color="auto" w:sz="4" w:space="0"/>
              <w:left w:val="single" w:color="auto" w:sz="4" w:space="0"/>
              <w:bottom w:val="single" w:color="auto" w:sz="4" w:space="0"/>
              <w:right w:val="single" w:color="auto" w:sz="4" w:space="0"/>
            </w:tcBorders>
          </w:tcPr>
          <w:p w14:paraId="6E35C91B">
            <w:pPr>
              <w:snapToGrid w:val="0"/>
              <w:spacing w:beforeLines="50"/>
              <w:jc w:val="center"/>
              <w:outlineLvl w:val="9"/>
              <w:rPr>
                <w:rFonts w:hint="eastAsia" w:ascii="仿宋" w:hAnsi="仿宋" w:eastAsia="仿宋"/>
                <w:color w:val="auto"/>
                <w:sz w:val="24"/>
                <w:highlight w:val="none"/>
              </w:rPr>
            </w:pPr>
          </w:p>
        </w:tc>
        <w:tc>
          <w:tcPr>
            <w:tcW w:w="1328" w:type="dxa"/>
            <w:tcBorders>
              <w:top w:val="single" w:color="auto" w:sz="4" w:space="0"/>
              <w:left w:val="single" w:color="auto" w:sz="4" w:space="0"/>
              <w:bottom w:val="single" w:color="auto" w:sz="4" w:space="0"/>
              <w:right w:val="single" w:color="auto" w:sz="4" w:space="0"/>
            </w:tcBorders>
          </w:tcPr>
          <w:p w14:paraId="5CF115D2">
            <w:pPr>
              <w:snapToGrid w:val="0"/>
              <w:spacing w:beforeLines="50"/>
              <w:jc w:val="center"/>
              <w:outlineLvl w:val="9"/>
              <w:rPr>
                <w:rFonts w:hint="eastAsia" w:ascii="仿宋" w:hAnsi="仿宋" w:eastAsia="仿宋"/>
                <w:color w:val="auto"/>
                <w:sz w:val="24"/>
                <w:highlight w:val="none"/>
              </w:rPr>
            </w:pPr>
          </w:p>
        </w:tc>
        <w:tc>
          <w:tcPr>
            <w:tcW w:w="716" w:type="dxa"/>
            <w:tcBorders>
              <w:top w:val="single" w:color="auto" w:sz="4" w:space="0"/>
              <w:left w:val="single" w:color="auto" w:sz="4" w:space="0"/>
              <w:bottom w:val="single" w:color="auto" w:sz="4" w:space="0"/>
              <w:right w:val="single" w:color="auto" w:sz="4" w:space="0"/>
            </w:tcBorders>
          </w:tcPr>
          <w:p w14:paraId="2E7C56CC">
            <w:pPr>
              <w:snapToGrid w:val="0"/>
              <w:spacing w:beforeLines="50"/>
              <w:jc w:val="center"/>
              <w:outlineLvl w:val="9"/>
              <w:rPr>
                <w:rFonts w:hint="eastAsia" w:ascii="仿宋" w:hAnsi="仿宋" w:eastAsia="仿宋"/>
                <w:color w:val="auto"/>
                <w:sz w:val="24"/>
                <w:highlight w:val="none"/>
              </w:rPr>
            </w:pPr>
          </w:p>
        </w:tc>
      </w:tr>
      <w:tr w14:paraId="68D700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7F57BEC6">
            <w:pPr>
              <w:snapToGrid w:val="0"/>
              <w:spacing w:beforeLines="50"/>
              <w:jc w:val="center"/>
              <w:outlineLvl w:val="9"/>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3</w:t>
            </w:r>
          </w:p>
        </w:tc>
        <w:tc>
          <w:tcPr>
            <w:tcW w:w="1212" w:type="dxa"/>
            <w:vMerge w:val="restart"/>
            <w:tcBorders>
              <w:top w:val="single" w:color="auto" w:sz="4" w:space="0"/>
              <w:left w:val="single" w:color="auto" w:sz="4" w:space="0"/>
              <w:right w:val="single" w:color="auto" w:sz="4" w:space="0"/>
            </w:tcBorders>
            <w:vAlign w:val="center"/>
          </w:tcPr>
          <w:p w14:paraId="0FC4F8FC">
            <w:pPr>
              <w:snapToGrid w:val="0"/>
              <w:spacing w:beforeLines="50"/>
              <w:jc w:val="center"/>
              <w:outlineLvl w:val="9"/>
              <w:rPr>
                <w:rFonts w:hint="eastAsia" w:ascii="仿宋" w:hAnsi="仿宋" w:eastAsia="仿宋"/>
                <w:color w:val="auto"/>
                <w:sz w:val="24"/>
                <w:highlight w:val="none"/>
              </w:rPr>
            </w:pPr>
            <w:r>
              <w:rPr>
                <w:rFonts w:hint="eastAsia" w:ascii="仿宋" w:hAnsi="仿宋" w:eastAsia="仿宋"/>
                <w:color w:val="auto"/>
                <w:sz w:val="24"/>
                <w:highlight w:val="none"/>
              </w:rPr>
              <w:t>考核方案</w:t>
            </w:r>
          </w:p>
        </w:tc>
        <w:tc>
          <w:tcPr>
            <w:tcW w:w="4281" w:type="dxa"/>
            <w:tcBorders>
              <w:top w:val="single" w:color="auto" w:sz="4" w:space="0"/>
              <w:left w:val="single" w:color="auto" w:sz="4" w:space="0"/>
              <w:bottom w:val="single" w:color="auto" w:sz="4" w:space="0"/>
              <w:right w:val="single" w:color="auto" w:sz="4" w:space="0"/>
            </w:tcBorders>
          </w:tcPr>
          <w:p w14:paraId="4F3835B2">
            <w:pPr>
              <w:snapToGrid w:val="0"/>
              <w:spacing w:beforeLines="50"/>
              <w:jc w:val="left"/>
              <w:outlineLvl w:val="9"/>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w:t>
            </w:r>
            <w:r>
              <w:rPr>
                <w:rFonts w:hint="eastAsia" w:ascii="仿宋" w:hAnsi="仿宋" w:eastAsia="仿宋"/>
                <w:color w:val="auto"/>
                <w:sz w:val="24"/>
                <w:highlight w:val="none"/>
                <w:lang w:val="en-US" w:eastAsia="zh-CN"/>
              </w:rPr>
              <w:t>一</w:t>
            </w:r>
            <w:r>
              <w:rPr>
                <w:rFonts w:hint="eastAsia" w:ascii="仿宋" w:hAnsi="仿宋" w:eastAsia="仿宋"/>
                <w:color w:val="auto"/>
                <w:sz w:val="24"/>
                <w:highlight w:val="none"/>
                <w:lang w:eastAsia="zh-CN"/>
              </w:rPr>
              <w:t>）垃圾清运考核标准</w:t>
            </w:r>
          </w:p>
          <w:p w14:paraId="5929F3BD">
            <w:pPr>
              <w:snapToGrid w:val="0"/>
              <w:spacing w:beforeLines="50"/>
              <w:jc w:val="left"/>
              <w:outlineLvl w:val="9"/>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1.按垃圾分类要求配置垃圾收集桶，做到分类收集、分类转运，转运垃圾量100%，做到日产日清无积存。</w:t>
            </w:r>
          </w:p>
          <w:p w14:paraId="4AF9BC16">
            <w:pPr>
              <w:snapToGrid w:val="0"/>
              <w:spacing w:beforeLines="50"/>
              <w:jc w:val="left"/>
              <w:outlineLvl w:val="9"/>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2.垃圾运输做到车走地净。</w:t>
            </w:r>
          </w:p>
          <w:p w14:paraId="1F495F95">
            <w:pPr>
              <w:snapToGrid w:val="0"/>
              <w:spacing w:beforeLines="50"/>
              <w:jc w:val="left"/>
              <w:outlineLvl w:val="9"/>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3.车容整洁，车体外无污物、灰垢、密封运输，垃圾车辆运输途中不得有滴、泼、洒、漏 现象。车辆外严禁挂垃圾袋，保持车容车貌整洁。</w:t>
            </w:r>
          </w:p>
          <w:p w14:paraId="0B5A8D31">
            <w:pPr>
              <w:snapToGrid w:val="0"/>
              <w:spacing w:beforeLines="50"/>
              <w:jc w:val="left"/>
              <w:outlineLvl w:val="9"/>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4.垃圾按指定的转运站运送。</w:t>
            </w:r>
          </w:p>
          <w:p w14:paraId="6FE2F977">
            <w:pPr>
              <w:snapToGrid w:val="0"/>
              <w:spacing w:beforeLines="50"/>
              <w:jc w:val="left"/>
              <w:outlineLvl w:val="9"/>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5.垃圾处置合格，无填埋，无焚烧。</w:t>
            </w:r>
          </w:p>
          <w:p w14:paraId="19DE7717">
            <w:pPr>
              <w:snapToGrid w:val="0"/>
              <w:spacing w:beforeLines="50"/>
              <w:jc w:val="left"/>
              <w:outlineLvl w:val="9"/>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6.垃圾运送员需穿着全装上岗，严格遵守交规。</w:t>
            </w:r>
          </w:p>
          <w:p w14:paraId="709A128E">
            <w:pPr>
              <w:snapToGrid w:val="0"/>
              <w:spacing w:beforeLines="50"/>
              <w:jc w:val="left"/>
              <w:outlineLvl w:val="9"/>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7</w:t>
            </w:r>
            <w:r>
              <w:rPr>
                <w:rFonts w:hint="eastAsia" w:ascii="仿宋" w:hAnsi="仿宋" w:eastAsia="仿宋"/>
                <w:color w:val="auto"/>
                <w:sz w:val="24"/>
                <w:highlight w:val="none"/>
                <w:lang w:eastAsia="zh-CN"/>
              </w:rPr>
              <w:t>.及时冲洗垃圾容器，不得出现作业人员故意破坏垃圾容器的现象。</w:t>
            </w:r>
          </w:p>
        </w:tc>
        <w:tc>
          <w:tcPr>
            <w:tcW w:w="1344" w:type="dxa"/>
            <w:tcBorders>
              <w:top w:val="single" w:color="auto" w:sz="4" w:space="0"/>
              <w:left w:val="single" w:color="auto" w:sz="4" w:space="0"/>
              <w:bottom w:val="single" w:color="auto" w:sz="4" w:space="0"/>
              <w:right w:val="single" w:color="auto" w:sz="4" w:space="0"/>
            </w:tcBorders>
          </w:tcPr>
          <w:p w14:paraId="6ECD7FF6">
            <w:pPr>
              <w:snapToGrid w:val="0"/>
              <w:spacing w:beforeLines="50"/>
              <w:jc w:val="center"/>
              <w:outlineLvl w:val="9"/>
              <w:rPr>
                <w:rFonts w:hint="eastAsia" w:ascii="仿宋" w:hAnsi="仿宋" w:eastAsia="仿宋"/>
                <w:color w:val="auto"/>
                <w:sz w:val="24"/>
                <w:highlight w:val="none"/>
              </w:rPr>
            </w:pPr>
          </w:p>
        </w:tc>
        <w:tc>
          <w:tcPr>
            <w:tcW w:w="1328" w:type="dxa"/>
            <w:tcBorders>
              <w:top w:val="single" w:color="auto" w:sz="4" w:space="0"/>
              <w:left w:val="single" w:color="auto" w:sz="4" w:space="0"/>
              <w:bottom w:val="single" w:color="auto" w:sz="4" w:space="0"/>
              <w:right w:val="single" w:color="auto" w:sz="4" w:space="0"/>
            </w:tcBorders>
          </w:tcPr>
          <w:p w14:paraId="3BB41A25">
            <w:pPr>
              <w:snapToGrid w:val="0"/>
              <w:spacing w:beforeLines="50"/>
              <w:jc w:val="center"/>
              <w:outlineLvl w:val="9"/>
              <w:rPr>
                <w:rFonts w:hint="eastAsia" w:ascii="仿宋" w:hAnsi="仿宋" w:eastAsia="仿宋"/>
                <w:color w:val="auto"/>
                <w:sz w:val="24"/>
                <w:highlight w:val="none"/>
              </w:rPr>
            </w:pPr>
          </w:p>
        </w:tc>
        <w:tc>
          <w:tcPr>
            <w:tcW w:w="716" w:type="dxa"/>
            <w:tcBorders>
              <w:top w:val="single" w:color="auto" w:sz="4" w:space="0"/>
              <w:left w:val="single" w:color="auto" w:sz="4" w:space="0"/>
              <w:bottom w:val="single" w:color="auto" w:sz="4" w:space="0"/>
              <w:right w:val="single" w:color="auto" w:sz="4" w:space="0"/>
            </w:tcBorders>
          </w:tcPr>
          <w:p w14:paraId="1CA3F3D0">
            <w:pPr>
              <w:snapToGrid w:val="0"/>
              <w:spacing w:beforeLines="50"/>
              <w:jc w:val="center"/>
              <w:outlineLvl w:val="9"/>
              <w:rPr>
                <w:rFonts w:hint="eastAsia" w:ascii="仿宋" w:hAnsi="仿宋" w:eastAsia="仿宋"/>
                <w:color w:val="auto"/>
                <w:sz w:val="24"/>
                <w:highlight w:val="none"/>
              </w:rPr>
            </w:pPr>
          </w:p>
        </w:tc>
      </w:tr>
      <w:tr w14:paraId="34011B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4459F886">
            <w:pPr>
              <w:snapToGrid w:val="0"/>
              <w:spacing w:beforeLines="50"/>
              <w:jc w:val="center"/>
              <w:outlineLvl w:val="9"/>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4</w:t>
            </w:r>
          </w:p>
        </w:tc>
        <w:tc>
          <w:tcPr>
            <w:tcW w:w="1212" w:type="dxa"/>
            <w:vMerge w:val="continue"/>
            <w:tcBorders>
              <w:left w:val="single" w:color="auto" w:sz="4" w:space="0"/>
              <w:right w:val="single" w:color="auto" w:sz="4" w:space="0"/>
            </w:tcBorders>
          </w:tcPr>
          <w:p w14:paraId="0026653C">
            <w:pPr>
              <w:snapToGrid w:val="0"/>
              <w:spacing w:beforeLines="50"/>
              <w:jc w:val="center"/>
              <w:outlineLvl w:val="9"/>
              <w:rPr>
                <w:rFonts w:hint="eastAsia" w:ascii="仿宋" w:hAnsi="仿宋" w:eastAsia="仿宋"/>
                <w:color w:val="auto"/>
                <w:sz w:val="24"/>
                <w:highlight w:val="none"/>
              </w:rPr>
            </w:pPr>
          </w:p>
        </w:tc>
        <w:tc>
          <w:tcPr>
            <w:tcW w:w="4281" w:type="dxa"/>
            <w:tcBorders>
              <w:top w:val="single" w:color="auto" w:sz="4" w:space="0"/>
              <w:left w:val="single" w:color="auto" w:sz="4" w:space="0"/>
              <w:bottom w:val="single" w:color="auto" w:sz="4" w:space="0"/>
              <w:right w:val="single" w:color="auto" w:sz="4" w:space="0"/>
            </w:tcBorders>
          </w:tcPr>
          <w:p w14:paraId="0DB42098">
            <w:pPr>
              <w:snapToGrid w:val="0"/>
              <w:spacing w:beforeLines="50"/>
              <w:jc w:val="left"/>
              <w:outlineLvl w:val="9"/>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eastAsia="zh-CN"/>
              </w:rPr>
              <w:t>（</w:t>
            </w:r>
            <w:r>
              <w:rPr>
                <w:rFonts w:hint="eastAsia" w:ascii="仿宋" w:hAnsi="仿宋" w:eastAsia="仿宋"/>
                <w:color w:val="auto"/>
                <w:sz w:val="24"/>
                <w:highlight w:val="none"/>
                <w:lang w:val="en-US" w:eastAsia="zh-CN"/>
              </w:rPr>
              <w:t>二</w:t>
            </w:r>
            <w:r>
              <w:rPr>
                <w:rFonts w:hint="eastAsia" w:ascii="仿宋" w:hAnsi="仿宋" w:eastAsia="仿宋"/>
                <w:color w:val="auto"/>
                <w:sz w:val="24"/>
                <w:highlight w:val="none"/>
                <w:lang w:eastAsia="zh-CN"/>
              </w:rPr>
              <w:t>）</w:t>
            </w:r>
            <w:r>
              <w:rPr>
                <w:rFonts w:hint="eastAsia" w:ascii="仿宋" w:hAnsi="仿宋" w:eastAsia="仿宋"/>
                <w:color w:val="auto"/>
                <w:sz w:val="24"/>
                <w:highlight w:val="none"/>
                <w:lang w:val="en-US" w:eastAsia="zh-Hans"/>
              </w:rPr>
              <w:t>东陈镇垃圾转运服务作业规范及考核细则</w:t>
            </w:r>
            <w:r>
              <w:rPr>
                <w:rFonts w:hint="eastAsia" w:ascii="仿宋" w:hAnsi="仿宋" w:eastAsia="仿宋"/>
                <w:color w:val="auto"/>
                <w:sz w:val="24"/>
                <w:highlight w:val="none"/>
                <w:lang w:val="en-US" w:eastAsia="zh-CN"/>
              </w:rPr>
              <w:t>：</w:t>
            </w:r>
          </w:p>
          <w:p w14:paraId="114204C2">
            <w:pPr>
              <w:snapToGrid w:val="0"/>
              <w:spacing w:beforeLines="50"/>
              <w:jc w:val="left"/>
              <w:outlineLvl w:val="9"/>
              <w:rPr>
                <w:rFonts w:hint="eastAsia" w:ascii="仿宋" w:hAnsi="仿宋" w:eastAsia="仿宋"/>
                <w:color w:val="auto"/>
                <w:sz w:val="24"/>
                <w:highlight w:val="none"/>
              </w:rPr>
            </w:pPr>
            <w:r>
              <w:rPr>
                <w:rFonts w:hint="eastAsia" w:ascii="仿宋" w:hAnsi="仿宋" w:eastAsia="仿宋"/>
                <w:color w:val="auto"/>
                <w:sz w:val="24"/>
                <w:highlight w:val="none"/>
              </w:rPr>
              <w:t xml:space="preserve"> </w:t>
            </w:r>
            <w:r>
              <w:rPr>
                <w:rFonts w:hint="eastAsia" w:ascii="仿宋" w:hAnsi="仿宋" w:eastAsia="仿宋"/>
                <w:color w:val="auto"/>
                <w:sz w:val="24"/>
                <w:highlight w:val="none"/>
                <w:lang w:val="en-US" w:eastAsia="zh-Hans"/>
              </w:rPr>
              <w:t>垃圾转运服务作业规范</w:t>
            </w:r>
          </w:p>
          <w:p w14:paraId="118FA19D">
            <w:pPr>
              <w:snapToGrid w:val="0"/>
              <w:spacing w:beforeLines="50"/>
              <w:jc w:val="left"/>
              <w:outlineLvl w:val="9"/>
              <w:rPr>
                <w:rFonts w:hint="eastAsia" w:ascii="仿宋" w:hAnsi="仿宋" w:eastAsia="仿宋"/>
                <w:color w:val="auto"/>
                <w:sz w:val="24"/>
                <w:highlight w:val="none"/>
              </w:rPr>
            </w:pPr>
            <w:r>
              <w:rPr>
                <w:rFonts w:hint="eastAsia" w:ascii="仿宋" w:hAnsi="仿宋" w:eastAsia="仿宋"/>
                <w:color w:val="auto"/>
                <w:sz w:val="24"/>
                <w:highlight w:val="none"/>
              </w:rPr>
              <w:t>一、作业质量标准和工作要求</w:t>
            </w:r>
          </w:p>
          <w:p w14:paraId="75B6D51B">
            <w:pPr>
              <w:snapToGrid w:val="0"/>
              <w:spacing w:beforeLines="50"/>
              <w:jc w:val="left"/>
              <w:outlineLvl w:val="9"/>
              <w:rPr>
                <w:rFonts w:hint="eastAsia" w:ascii="仿宋" w:hAnsi="仿宋" w:eastAsia="仿宋"/>
                <w:color w:val="auto"/>
                <w:sz w:val="24"/>
                <w:highlight w:val="none"/>
              </w:rPr>
            </w:pPr>
            <w:r>
              <w:rPr>
                <w:rFonts w:hint="eastAsia" w:ascii="仿宋" w:hAnsi="仿宋" w:eastAsia="仿宋"/>
                <w:color w:val="auto"/>
                <w:sz w:val="24"/>
                <w:highlight w:val="none"/>
                <w:lang w:eastAsia="zh-CN"/>
              </w:rPr>
              <w:t>1.</w:t>
            </w:r>
            <w:r>
              <w:rPr>
                <w:rFonts w:hint="eastAsia" w:ascii="仿宋" w:hAnsi="仿宋" w:eastAsia="仿宋"/>
                <w:color w:val="auto"/>
                <w:sz w:val="24"/>
                <w:highlight w:val="none"/>
              </w:rPr>
              <w:t>出车前检查车辆是否完好，箱体是否密闭；</w:t>
            </w:r>
          </w:p>
          <w:p w14:paraId="72E34FCA">
            <w:pPr>
              <w:snapToGrid w:val="0"/>
              <w:spacing w:beforeLines="50"/>
              <w:jc w:val="left"/>
              <w:outlineLvl w:val="9"/>
              <w:rPr>
                <w:rFonts w:hint="eastAsia" w:ascii="仿宋" w:hAnsi="仿宋" w:eastAsia="仿宋"/>
                <w:color w:val="auto"/>
                <w:sz w:val="24"/>
                <w:highlight w:val="none"/>
              </w:rPr>
            </w:pPr>
            <w:r>
              <w:rPr>
                <w:rFonts w:hint="eastAsia" w:ascii="仿宋" w:hAnsi="仿宋" w:eastAsia="仿宋"/>
                <w:color w:val="auto"/>
                <w:sz w:val="24"/>
                <w:highlight w:val="none"/>
                <w:lang w:eastAsia="zh-CN"/>
              </w:rPr>
              <w:t>2.</w:t>
            </w:r>
            <w:r>
              <w:rPr>
                <w:rFonts w:hint="eastAsia" w:ascii="仿宋" w:hAnsi="仿宋" w:eastAsia="仿宋"/>
                <w:color w:val="auto"/>
                <w:sz w:val="24"/>
                <w:highlight w:val="none"/>
              </w:rPr>
              <w:t>按时到达指定中转站，装卸垃圾时，驾驶员应与中转站操作工密切配合，按照中转站设备使用说明使用相关设备。同时要做到垃圾日产日清；</w:t>
            </w:r>
          </w:p>
          <w:p w14:paraId="6D882298">
            <w:pPr>
              <w:snapToGrid w:val="0"/>
              <w:spacing w:beforeLines="50"/>
              <w:jc w:val="left"/>
              <w:outlineLvl w:val="9"/>
              <w:rPr>
                <w:rFonts w:hint="eastAsia" w:ascii="仿宋" w:hAnsi="仿宋" w:eastAsia="仿宋"/>
                <w:color w:val="auto"/>
                <w:sz w:val="24"/>
                <w:highlight w:val="none"/>
              </w:rPr>
            </w:pPr>
            <w:r>
              <w:rPr>
                <w:rFonts w:hint="eastAsia" w:ascii="仿宋" w:hAnsi="仿宋" w:eastAsia="仿宋"/>
                <w:color w:val="auto"/>
                <w:sz w:val="24"/>
                <w:highlight w:val="none"/>
                <w:lang w:eastAsia="zh-CN"/>
              </w:rPr>
              <w:t>3.</w:t>
            </w:r>
            <w:r>
              <w:rPr>
                <w:rFonts w:hint="eastAsia" w:ascii="仿宋" w:hAnsi="仿宋" w:eastAsia="仿宋"/>
                <w:color w:val="auto"/>
                <w:sz w:val="24"/>
                <w:highlight w:val="none"/>
              </w:rPr>
              <w:t>运输时做到密闭化，车辆整洁，垃圾无吊挂，沿途不散落、滴洒，严禁搭乘与作业无关人员；</w:t>
            </w:r>
          </w:p>
          <w:p w14:paraId="6A283AB2">
            <w:pPr>
              <w:snapToGrid w:val="0"/>
              <w:spacing w:beforeLines="50"/>
              <w:jc w:val="left"/>
              <w:outlineLvl w:val="9"/>
              <w:rPr>
                <w:rFonts w:hint="eastAsia" w:ascii="仿宋" w:hAnsi="仿宋" w:eastAsia="仿宋"/>
                <w:color w:val="auto"/>
                <w:sz w:val="24"/>
                <w:highlight w:val="none"/>
              </w:rPr>
            </w:pPr>
            <w:r>
              <w:rPr>
                <w:rFonts w:hint="eastAsia" w:ascii="仿宋" w:hAnsi="仿宋" w:eastAsia="仿宋"/>
                <w:color w:val="auto"/>
                <w:sz w:val="24"/>
                <w:highlight w:val="none"/>
                <w:lang w:eastAsia="zh-CN"/>
              </w:rPr>
              <w:t>4.</w:t>
            </w:r>
            <w:r>
              <w:rPr>
                <w:rFonts w:hint="eastAsia" w:ascii="仿宋" w:hAnsi="仿宋" w:eastAsia="仿宋"/>
                <w:color w:val="auto"/>
                <w:sz w:val="24"/>
                <w:highlight w:val="none"/>
              </w:rPr>
              <w:t>垃圾运到处理场后，应服从调度、安排，倾卸垃圾后车厢必须归位后再起步；</w:t>
            </w:r>
          </w:p>
          <w:p w14:paraId="5DED2298">
            <w:pPr>
              <w:snapToGrid w:val="0"/>
              <w:spacing w:beforeLines="50"/>
              <w:jc w:val="left"/>
              <w:outlineLvl w:val="9"/>
              <w:rPr>
                <w:rFonts w:hint="eastAsia" w:ascii="仿宋" w:hAnsi="仿宋" w:eastAsia="仿宋"/>
                <w:color w:val="auto"/>
                <w:sz w:val="24"/>
                <w:highlight w:val="none"/>
              </w:rPr>
            </w:pPr>
            <w:r>
              <w:rPr>
                <w:rFonts w:hint="eastAsia" w:ascii="仿宋" w:hAnsi="仿宋" w:eastAsia="仿宋"/>
                <w:color w:val="auto"/>
                <w:sz w:val="24"/>
                <w:highlight w:val="none"/>
                <w:lang w:eastAsia="zh-CN"/>
              </w:rPr>
              <w:t>5.</w:t>
            </w:r>
            <w:r>
              <w:rPr>
                <w:rFonts w:hint="eastAsia" w:ascii="仿宋" w:hAnsi="仿宋" w:eastAsia="仿宋"/>
                <w:color w:val="auto"/>
                <w:sz w:val="24"/>
                <w:highlight w:val="none"/>
              </w:rPr>
              <w:t>装运中遵守交通规则，注意行车安全，防止事故发生；</w:t>
            </w:r>
          </w:p>
          <w:p w14:paraId="44E0B909">
            <w:pPr>
              <w:snapToGrid w:val="0"/>
              <w:spacing w:beforeLines="50"/>
              <w:jc w:val="left"/>
              <w:outlineLvl w:val="9"/>
              <w:rPr>
                <w:rFonts w:hint="eastAsia" w:ascii="仿宋" w:hAnsi="仿宋" w:eastAsia="仿宋"/>
                <w:color w:val="auto"/>
                <w:sz w:val="24"/>
                <w:highlight w:val="none"/>
              </w:rPr>
            </w:pPr>
            <w:r>
              <w:rPr>
                <w:rFonts w:hint="eastAsia" w:ascii="仿宋" w:hAnsi="仿宋" w:eastAsia="仿宋"/>
                <w:color w:val="auto"/>
                <w:sz w:val="24"/>
                <w:highlight w:val="none"/>
                <w:lang w:eastAsia="zh-CN"/>
              </w:rPr>
              <w:t>6.</w:t>
            </w:r>
            <w:r>
              <w:rPr>
                <w:rFonts w:hint="eastAsia" w:ascii="仿宋" w:hAnsi="仿宋" w:eastAsia="仿宋"/>
                <w:color w:val="auto"/>
                <w:sz w:val="24"/>
                <w:highlight w:val="none"/>
              </w:rPr>
              <w:t>每天作业结束后，将车辆冲洗干净，停放到指定地点。</w:t>
            </w:r>
          </w:p>
          <w:p w14:paraId="6210D455">
            <w:pPr>
              <w:snapToGrid w:val="0"/>
              <w:spacing w:beforeLines="50"/>
              <w:jc w:val="left"/>
              <w:outlineLvl w:val="9"/>
              <w:rPr>
                <w:rFonts w:hint="eastAsia" w:ascii="仿宋" w:hAnsi="仿宋" w:eastAsia="仿宋"/>
                <w:color w:val="auto"/>
                <w:sz w:val="24"/>
                <w:highlight w:val="none"/>
              </w:rPr>
            </w:pPr>
            <w:r>
              <w:rPr>
                <w:rFonts w:hint="eastAsia" w:ascii="仿宋" w:hAnsi="仿宋" w:eastAsia="仿宋"/>
                <w:color w:val="auto"/>
                <w:sz w:val="24"/>
                <w:highlight w:val="none"/>
              </w:rPr>
              <w:t>二、为切实加强考核管理，完善考核监管机制，推动工作落实，提升垃圾转运效率，根据相关规章和标准规范的规定，结合项目实际情况，特制订本考核办法。</w:t>
            </w:r>
          </w:p>
          <w:p w14:paraId="7EAA9E80">
            <w:pPr>
              <w:snapToGrid w:val="0"/>
              <w:spacing w:beforeLines="50"/>
              <w:jc w:val="left"/>
              <w:outlineLvl w:val="9"/>
              <w:rPr>
                <w:rFonts w:hint="eastAsia" w:ascii="仿宋" w:hAnsi="仿宋" w:eastAsia="仿宋"/>
                <w:color w:val="auto"/>
                <w:sz w:val="24"/>
                <w:highlight w:val="none"/>
              </w:rPr>
            </w:pPr>
            <w:r>
              <w:rPr>
                <w:rFonts w:hint="eastAsia" w:ascii="仿宋" w:hAnsi="仿宋" w:eastAsia="仿宋"/>
                <w:color w:val="auto"/>
                <w:sz w:val="24"/>
                <w:highlight w:val="none"/>
              </w:rPr>
              <w:t>（一）考核内容</w:t>
            </w:r>
          </w:p>
          <w:p w14:paraId="0A7FFBCE">
            <w:pPr>
              <w:snapToGrid w:val="0"/>
              <w:spacing w:beforeLines="50"/>
              <w:jc w:val="left"/>
              <w:outlineLvl w:val="9"/>
              <w:rPr>
                <w:rFonts w:hint="eastAsia" w:ascii="仿宋" w:hAnsi="仿宋" w:eastAsia="仿宋"/>
                <w:color w:val="auto"/>
                <w:sz w:val="24"/>
                <w:highlight w:val="none"/>
              </w:rPr>
            </w:pPr>
            <w:r>
              <w:rPr>
                <w:rFonts w:hint="eastAsia" w:ascii="仿宋" w:hAnsi="仿宋" w:eastAsia="仿宋"/>
                <w:color w:val="auto"/>
                <w:sz w:val="24"/>
                <w:highlight w:val="none"/>
                <w:lang w:eastAsia="zh-CN"/>
              </w:rPr>
              <w:t>1.</w:t>
            </w:r>
            <w:r>
              <w:rPr>
                <w:rFonts w:hint="eastAsia" w:ascii="仿宋" w:hAnsi="仿宋" w:eastAsia="仿宋"/>
                <w:color w:val="auto"/>
                <w:sz w:val="24"/>
                <w:highlight w:val="none"/>
              </w:rPr>
              <w:t>垃圾车辆管理，包括驾驶员工作规范、车辆维护等。</w:t>
            </w:r>
          </w:p>
          <w:p w14:paraId="4B3BDCFD">
            <w:pPr>
              <w:snapToGrid w:val="0"/>
              <w:spacing w:beforeLines="50"/>
              <w:jc w:val="left"/>
              <w:outlineLvl w:val="9"/>
              <w:rPr>
                <w:rFonts w:hint="eastAsia" w:ascii="仿宋" w:hAnsi="仿宋" w:eastAsia="仿宋"/>
                <w:color w:val="auto"/>
                <w:sz w:val="24"/>
                <w:highlight w:val="none"/>
              </w:rPr>
            </w:pPr>
            <w:r>
              <w:rPr>
                <w:rFonts w:hint="eastAsia" w:ascii="仿宋" w:hAnsi="仿宋" w:eastAsia="仿宋"/>
                <w:color w:val="auto"/>
                <w:sz w:val="24"/>
                <w:highlight w:val="none"/>
              </w:rPr>
              <w:t>（二）考核方式</w:t>
            </w:r>
          </w:p>
          <w:p w14:paraId="56CEB80C">
            <w:pPr>
              <w:snapToGrid w:val="0"/>
              <w:spacing w:beforeLines="50"/>
              <w:jc w:val="left"/>
              <w:outlineLvl w:val="9"/>
              <w:rPr>
                <w:rFonts w:hint="eastAsia" w:ascii="仿宋" w:hAnsi="仿宋" w:eastAsia="仿宋"/>
                <w:color w:val="auto"/>
                <w:sz w:val="24"/>
                <w:highlight w:val="none"/>
              </w:rPr>
            </w:pPr>
            <w:r>
              <w:rPr>
                <w:rFonts w:hint="eastAsia" w:ascii="仿宋" w:hAnsi="仿宋" w:eastAsia="仿宋"/>
                <w:color w:val="auto"/>
                <w:sz w:val="24"/>
                <w:highlight w:val="none"/>
              </w:rPr>
              <w:t>考核通过随机抽查与通知检查、明查与突击检查等多种形式，全面了解掌握作业车辆及中转站管理质量情况。</w:t>
            </w:r>
          </w:p>
          <w:p w14:paraId="7BD08967">
            <w:pPr>
              <w:snapToGrid w:val="0"/>
              <w:spacing w:beforeLines="50"/>
              <w:jc w:val="left"/>
              <w:outlineLvl w:val="9"/>
              <w:rPr>
                <w:rFonts w:hint="eastAsia" w:ascii="仿宋" w:hAnsi="仿宋" w:eastAsia="仿宋"/>
                <w:color w:val="auto"/>
                <w:sz w:val="24"/>
                <w:highlight w:val="none"/>
              </w:rPr>
            </w:pPr>
            <w:r>
              <w:rPr>
                <w:rFonts w:hint="eastAsia" w:ascii="仿宋" w:hAnsi="仿宋" w:eastAsia="仿宋"/>
                <w:color w:val="auto"/>
                <w:sz w:val="24"/>
                <w:highlight w:val="none"/>
                <w:lang w:eastAsia="zh-CN"/>
              </w:rPr>
              <w:t>1.</w:t>
            </w:r>
            <w:r>
              <w:rPr>
                <w:rFonts w:hint="eastAsia" w:ascii="仿宋" w:hAnsi="仿宋" w:eastAsia="仿宋"/>
                <w:color w:val="auto"/>
                <w:sz w:val="24"/>
                <w:highlight w:val="none"/>
              </w:rPr>
              <w:t>季度考核：由巡查人员开展日常巡查工作，发现存在问题当场拍照并通知</w:t>
            </w:r>
            <w:r>
              <w:rPr>
                <w:rFonts w:hint="eastAsia" w:ascii="仿宋" w:hAnsi="仿宋" w:eastAsia="仿宋"/>
                <w:color w:val="auto"/>
                <w:sz w:val="24"/>
                <w:highlight w:val="none"/>
                <w:lang w:val="en-US" w:eastAsia="zh-CN"/>
              </w:rPr>
              <w:t>成交人</w:t>
            </w:r>
            <w:r>
              <w:rPr>
                <w:rFonts w:hint="eastAsia" w:ascii="仿宋" w:hAnsi="仿宋" w:eastAsia="仿宋"/>
                <w:color w:val="auto"/>
                <w:sz w:val="24"/>
                <w:highlight w:val="none"/>
              </w:rPr>
              <w:t>确认并落实整改，同时根据扣分标准予以相应扣分，按季度进行评分；</w:t>
            </w:r>
          </w:p>
          <w:p w14:paraId="5939C8FD">
            <w:pPr>
              <w:snapToGrid w:val="0"/>
              <w:spacing w:beforeLines="50"/>
              <w:jc w:val="left"/>
              <w:outlineLvl w:val="9"/>
              <w:rPr>
                <w:rFonts w:hint="eastAsia" w:ascii="仿宋" w:hAnsi="仿宋" w:eastAsia="仿宋"/>
                <w:color w:val="auto"/>
                <w:sz w:val="24"/>
                <w:highlight w:val="none"/>
              </w:rPr>
            </w:pPr>
            <w:r>
              <w:rPr>
                <w:rFonts w:hint="eastAsia" w:ascii="仿宋" w:hAnsi="仿宋" w:eastAsia="仿宋"/>
                <w:color w:val="auto"/>
                <w:sz w:val="24"/>
                <w:highlight w:val="none"/>
                <w:lang w:eastAsia="zh-CN"/>
              </w:rPr>
              <w:t>2.</w:t>
            </w:r>
            <w:r>
              <w:rPr>
                <w:rFonts w:hint="eastAsia" w:ascii="仿宋" w:hAnsi="仿宋" w:eastAsia="仿宋"/>
                <w:color w:val="auto"/>
                <w:sz w:val="24"/>
                <w:highlight w:val="none"/>
              </w:rPr>
              <w:t>公众监督：对群众投诉、媒体曝光的问题，经核实属于</w:t>
            </w:r>
            <w:r>
              <w:rPr>
                <w:rFonts w:hint="eastAsia" w:ascii="仿宋" w:hAnsi="仿宋" w:eastAsia="仿宋"/>
                <w:color w:val="auto"/>
                <w:sz w:val="24"/>
                <w:highlight w:val="none"/>
                <w:lang w:val="en-US" w:eastAsia="zh-CN"/>
              </w:rPr>
              <w:t>成交人</w:t>
            </w:r>
            <w:r>
              <w:rPr>
                <w:rFonts w:hint="eastAsia" w:ascii="仿宋" w:hAnsi="仿宋" w:eastAsia="仿宋"/>
                <w:color w:val="auto"/>
                <w:sz w:val="24"/>
                <w:highlight w:val="none"/>
              </w:rPr>
              <w:t>责任的，通知</w:t>
            </w:r>
            <w:r>
              <w:rPr>
                <w:rFonts w:hint="eastAsia" w:ascii="仿宋" w:hAnsi="仿宋" w:eastAsia="仿宋"/>
                <w:color w:val="auto"/>
                <w:sz w:val="24"/>
                <w:highlight w:val="none"/>
                <w:lang w:val="en-US" w:eastAsia="zh-CN"/>
              </w:rPr>
              <w:t>成交人</w:t>
            </w:r>
            <w:r>
              <w:rPr>
                <w:rFonts w:hint="eastAsia" w:ascii="仿宋" w:hAnsi="仿宋" w:eastAsia="仿宋"/>
                <w:color w:val="auto"/>
                <w:sz w:val="24"/>
                <w:highlight w:val="none"/>
              </w:rPr>
              <w:t>处理并按规定进行扣分，拖延处理或造成不良影响的，加倍扣分。扣分根据投诉或曝光日期计入月度考核中，不重复扣分。</w:t>
            </w:r>
          </w:p>
        </w:tc>
        <w:tc>
          <w:tcPr>
            <w:tcW w:w="1344" w:type="dxa"/>
            <w:tcBorders>
              <w:top w:val="single" w:color="auto" w:sz="4" w:space="0"/>
              <w:left w:val="single" w:color="auto" w:sz="4" w:space="0"/>
              <w:bottom w:val="single" w:color="auto" w:sz="4" w:space="0"/>
              <w:right w:val="single" w:color="auto" w:sz="4" w:space="0"/>
            </w:tcBorders>
          </w:tcPr>
          <w:p w14:paraId="61C1F9F4">
            <w:pPr>
              <w:snapToGrid w:val="0"/>
              <w:spacing w:beforeLines="50"/>
              <w:jc w:val="center"/>
              <w:outlineLvl w:val="9"/>
              <w:rPr>
                <w:rFonts w:hint="eastAsia" w:ascii="仿宋" w:hAnsi="仿宋" w:eastAsia="仿宋"/>
                <w:color w:val="auto"/>
                <w:sz w:val="24"/>
                <w:highlight w:val="none"/>
              </w:rPr>
            </w:pPr>
          </w:p>
        </w:tc>
        <w:tc>
          <w:tcPr>
            <w:tcW w:w="1328" w:type="dxa"/>
            <w:tcBorders>
              <w:top w:val="single" w:color="auto" w:sz="4" w:space="0"/>
              <w:left w:val="single" w:color="auto" w:sz="4" w:space="0"/>
              <w:bottom w:val="single" w:color="auto" w:sz="4" w:space="0"/>
              <w:right w:val="single" w:color="auto" w:sz="4" w:space="0"/>
            </w:tcBorders>
          </w:tcPr>
          <w:p w14:paraId="666721C0">
            <w:pPr>
              <w:snapToGrid w:val="0"/>
              <w:spacing w:beforeLines="50"/>
              <w:jc w:val="center"/>
              <w:outlineLvl w:val="9"/>
              <w:rPr>
                <w:rFonts w:hint="eastAsia" w:ascii="仿宋" w:hAnsi="仿宋" w:eastAsia="仿宋"/>
                <w:color w:val="auto"/>
                <w:sz w:val="24"/>
                <w:highlight w:val="none"/>
              </w:rPr>
            </w:pPr>
          </w:p>
        </w:tc>
        <w:tc>
          <w:tcPr>
            <w:tcW w:w="716" w:type="dxa"/>
            <w:tcBorders>
              <w:top w:val="single" w:color="auto" w:sz="4" w:space="0"/>
              <w:left w:val="single" w:color="auto" w:sz="4" w:space="0"/>
              <w:bottom w:val="single" w:color="auto" w:sz="4" w:space="0"/>
              <w:right w:val="single" w:color="auto" w:sz="4" w:space="0"/>
            </w:tcBorders>
          </w:tcPr>
          <w:p w14:paraId="1730B85E">
            <w:pPr>
              <w:snapToGrid w:val="0"/>
              <w:spacing w:beforeLines="50"/>
              <w:jc w:val="center"/>
              <w:outlineLvl w:val="9"/>
              <w:rPr>
                <w:rFonts w:hint="eastAsia" w:ascii="仿宋" w:hAnsi="仿宋" w:eastAsia="仿宋"/>
                <w:color w:val="auto"/>
                <w:sz w:val="24"/>
                <w:highlight w:val="none"/>
              </w:rPr>
            </w:pPr>
          </w:p>
        </w:tc>
      </w:tr>
      <w:tr w14:paraId="07CF47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BD727C2">
            <w:pPr>
              <w:snapToGrid w:val="0"/>
              <w:spacing w:beforeLines="50"/>
              <w:jc w:val="center"/>
              <w:outlineLvl w:val="9"/>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5</w:t>
            </w:r>
          </w:p>
        </w:tc>
        <w:tc>
          <w:tcPr>
            <w:tcW w:w="1212" w:type="dxa"/>
            <w:vMerge w:val="continue"/>
            <w:tcBorders>
              <w:left w:val="single" w:color="auto" w:sz="4" w:space="0"/>
              <w:right w:val="single" w:color="auto" w:sz="4" w:space="0"/>
            </w:tcBorders>
          </w:tcPr>
          <w:p w14:paraId="4CD92B58">
            <w:pPr>
              <w:snapToGrid w:val="0"/>
              <w:spacing w:beforeLines="50"/>
              <w:jc w:val="center"/>
              <w:outlineLvl w:val="9"/>
              <w:rPr>
                <w:rFonts w:hint="eastAsia" w:ascii="仿宋" w:hAnsi="仿宋" w:eastAsia="仿宋"/>
                <w:color w:val="auto"/>
                <w:sz w:val="24"/>
                <w:highlight w:val="none"/>
              </w:rPr>
            </w:pPr>
          </w:p>
        </w:tc>
        <w:tc>
          <w:tcPr>
            <w:tcW w:w="4281" w:type="dxa"/>
            <w:tcBorders>
              <w:top w:val="single" w:color="auto" w:sz="4" w:space="0"/>
              <w:left w:val="single" w:color="auto" w:sz="4" w:space="0"/>
              <w:bottom w:val="single" w:color="auto" w:sz="4" w:space="0"/>
              <w:right w:val="single" w:color="auto" w:sz="4" w:space="0"/>
            </w:tcBorders>
          </w:tcPr>
          <w:p w14:paraId="78B48F03">
            <w:pPr>
              <w:snapToGrid w:val="0"/>
              <w:spacing w:beforeLines="50"/>
              <w:jc w:val="left"/>
              <w:outlineLvl w:val="9"/>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t>（三）结果运用</w:t>
            </w:r>
          </w:p>
          <w:p w14:paraId="584B4DFE">
            <w:pPr>
              <w:snapToGrid w:val="0"/>
              <w:spacing w:beforeLines="50"/>
              <w:jc w:val="left"/>
              <w:outlineLvl w:val="9"/>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采取“每日计量、季度结算、结合季度绩效考核结果”的办法。每季度暂按垃圾转运处置服务费中标价和实际垃圾处理量的80%支付，余款于合同满一年后根据考核情况支付</w:t>
            </w:r>
            <w:r>
              <w:rPr>
                <w:rFonts w:hint="eastAsia" w:ascii="仿宋" w:hAnsi="仿宋" w:eastAsia="仿宋"/>
                <w:color w:val="auto"/>
                <w:sz w:val="24"/>
                <w:highlight w:val="none"/>
                <w:lang w:eastAsia="zh-CN"/>
              </w:rPr>
              <w:t>。当季度考评分值90分（含90分）以上的，全额拨付当季服务费；得分在85—90（含85分），按实际扣减分数每分2000元扣减当季服务费，得分在85分以下，按实际扣减分数每分3000元扣减当季服务费。按照最终结算的服务费，对该服务季度已经按月度实际支付的垃圾转运处理费以“多退少补”的方式处理（不计息）。</w:t>
            </w:r>
          </w:p>
        </w:tc>
        <w:tc>
          <w:tcPr>
            <w:tcW w:w="1344" w:type="dxa"/>
            <w:tcBorders>
              <w:top w:val="single" w:color="auto" w:sz="4" w:space="0"/>
              <w:left w:val="single" w:color="auto" w:sz="4" w:space="0"/>
              <w:bottom w:val="single" w:color="auto" w:sz="4" w:space="0"/>
              <w:right w:val="single" w:color="auto" w:sz="4" w:space="0"/>
            </w:tcBorders>
          </w:tcPr>
          <w:p w14:paraId="1496D304">
            <w:pPr>
              <w:snapToGrid w:val="0"/>
              <w:spacing w:beforeLines="50"/>
              <w:jc w:val="center"/>
              <w:outlineLvl w:val="9"/>
              <w:rPr>
                <w:rFonts w:hint="eastAsia" w:ascii="仿宋" w:hAnsi="仿宋" w:eastAsia="仿宋"/>
                <w:color w:val="auto"/>
                <w:sz w:val="24"/>
                <w:highlight w:val="none"/>
              </w:rPr>
            </w:pPr>
          </w:p>
        </w:tc>
        <w:tc>
          <w:tcPr>
            <w:tcW w:w="1328" w:type="dxa"/>
            <w:tcBorders>
              <w:top w:val="single" w:color="auto" w:sz="4" w:space="0"/>
              <w:left w:val="single" w:color="auto" w:sz="4" w:space="0"/>
              <w:bottom w:val="single" w:color="auto" w:sz="4" w:space="0"/>
              <w:right w:val="single" w:color="auto" w:sz="4" w:space="0"/>
            </w:tcBorders>
          </w:tcPr>
          <w:p w14:paraId="4F248236">
            <w:pPr>
              <w:snapToGrid w:val="0"/>
              <w:spacing w:beforeLines="50"/>
              <w:jc w:val="center"/>
              <w:outlineLvl w:val="9"/>
              <w:rPr>
                <w:rFonts w:hint="eastAsia" w:ascii="仿宋" w:hAnsi="仿宋" w:eastAsia="仿宋"/>
                <w:color w:val="auto"/>
                <w:sz w:val="24"/>
                <w:highlight w:val="none"/>
              </w:rPr>
            </w:pPr>
          </w:p>
        </w:tc>
        <w:tc>
          <w:tcPr>
            <w:tcW w:w="716" w:type="dxa"/>
            <w:tcBorders>
              <w:top w:val="single" w:color="auto" w:sz="4" w:space="0"/>
              <w:left w:val="single" w:color="auto" w:sz="4" w:space="0"/>
              <w:bottom w:val="single" w:color="auto" w:sz="4" w:space="0"/>
              <w:right w:val="single" w:color="auto" w:sz="4" w:space="0"/>
            </w:tcBorders>
          </w:tcPr>
          <w:p w14:paraId="5450BDFE">
            <w:pPr>
              <w:snapToGrid w:val="0"/>
              <w:spacing w:beforeLines="50"/>
              <w:jc w:val="center"/>
              <w:outlineLvl w:val="9"/>
              <w:rPr>
                <w:rFonts w:hint="eastAsia" w:ascii="仿宋" w:hAnsi="仿宋" w:eastAsia="仿宋"/>
                <w:color w:val="auto"/>
                <w:sz w:val="24"/>
                <w:highlight w:val="none"/>
              </w:rPr>
            </w:pPr>
          </w:p>
        </w:tc>
      </w:tr>
      <w:tr w14:paraId="6AFEFD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0E25E4C7">
            <w:pPr>
              <w:snapToGrid w:val="0"/>
              <w:spacing w:beforeLines="50"/>
              <w:jc w:val="center"/>
              <w:outlineLvl w:val="9"/>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6</w:t>
            </w:r>
          </w:p>
        </w:tc>
        <w:tc>
          <w:tcPr>
            <w:tcW w:w="1212" w:type="dxa"/>
            <w:vMerge w:val="continue"/>
            <w:tcBorders>
              <w:left w:val="single" w:color="auto" w:sz="4" w:space="0"/>
              <w:right w:val="single" w:color="auto" w:sz="4" w:space="0"/>
            </w:tcBorders>
          </w:tcPr>
          <w:p w14:paraId="5D15932D">
            <w:pPr>
              <w:snapToGrid w:val="0"/>
              <w:spacing w:beforeLines="50"/>
              <w:jc w:val="center"/>
              <w:outlineLvl w:val="9"/>
              <w:rPr>
                <w:rFonts w:hint="eastAsia" w:ascii="仿宋" w:hAnsi="仿宋" w:eastAsia="仿宋"/>
                <w:color w:val="auto"/>
                <w:sz w:val="24"/>
                <w:highlight w:val="none"/>
              </w:rPr>
            </w:pPr>
          </w:p>
        </w:tc>
        <w:tc>
          <w:tcPr>
            <w:tcW w:w="4281" w:type="dxa"/>
            <w:tcBorders>
              <w:top w:val="single" w:color="auto" w:sz="4" w:space="0"/>
              <w:left w:val="single" w:color="auto" w:sz="4" w:space="0"/>
              <w:bottom w:val="single" w:color="auto" w:sz="4" w:space="0"/>
              <w:right w:val="single" w:color="auto" w:sz="4" w:space="0"/>
            </w:tcBorders>
          </w:tcPr>
          <w:p w14:paraId="64C869FF">
            <w:pPr>
              <w:snapToGrid w:val="0"/>
              <w:spacing w:beforeLines="50"/>
              <w:jc w:val="left"/>
              <w:outlineLvl w:val="9"/>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（四）其他事项</w:t>
            </w:r>
          </w:p>
          <w:p w14:paraId="1FCCC91E">
            <w:pPr>
              <w:snapToGrid w:val="0"/>
              <w:spacing w:beforeLines="50"/>
              <w:jc w:val="left"/>
              <w:outlineLvl w:val="9"/>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成交人如果出现以下现象之一，采购人可以采取解除合同措施，并要求成交人赔偿损失。</w:t>
            </w:r>
          </w:p>
          <w:p w14:paraId="538CF868">
            <w:pPr>
              <w:snapToGrid w:val="0"/>
              <w:spacing w:beforeLines="50"/>
              <w:jc w:val="left"/>
              <w:outlineLvl w:val="9"/>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（1）若成交人在服务期内累计出现2次季度考核评分低于80分或出现1次季度考核评分低于60分的；</w:t>
            </w:r>
          </w:p>
          <w:p w14:paraId="43D2015B">
            <w:pPr>
              <w:snapToGrid w:val="0"/>
              <w:spacing w:beforeLines="50"/>
              <w:jc w:val="left"/>
              <w:outlineLvl w:val="9"/>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（2）在重大创建活动的迎检过程中，因保障不力、责任失分，造成检查未通过的；</w:t>
            </w:r>
          </w:p>
          <w:p w14:paraId="296A8DD0">
            <w:pPr>
              <w:snapToGrid w:val="0"/>
              <w:spacing w:beforeLines="50"/>
              <w:jc w:val="left"/>
              <w:outlineLvl w:val="9"/>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（3）因管理不善、违反劳动法等法律法规，发生群体性事件，造成恶劣影响的；</w:t>
            </w:r>
          </w:p>
          <w:p w14:paraId="651F2240">
            <w:pPr>
              <w:snapToGrid w:val="0"/>
              <w:spacing w:beforeLines="50"/>
              <w:jc w:val="left"/>
              <w:outlineLvl w:val="9"/>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（4）存在违反廉政合同或威胁、侮辱、诽谤管理人员等行为的；</w:t>
            </w:r>
          </w:p>
          <w:p w14:paraId="12DE9475">
            <w:pPr>
              <w:snapToGrid w:val="0"/>
              <w:spacing w:beforeLines="50"/>
              <w:jc w:val="left"/>
              <w:outlineLvl w:val="9"/>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（5）存在违反国家法律行为或其他犯罪活动的；</w:t>
            </w:r>
          </w:p>
          <w:p w14:paraId="2C9BAB4A">
            <w:pPr>
              <w:snapToGrid w:val="0"/>
              <w:spacing w:beforeLines="50"/>
              <w:jc w:val="left"/>
              <w:outlineLvl w:val="9"/>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（6）成交人在服务期间因管理不善导致出现重大安全事故，被新闻媒体曝光，并在社会上造成不良影响及严重后果的；</w:t>
            </w:r>
          </w:p>
          <w:p w14:paraId="7A1C0BAA">
            <w:pPr>
              <w:snapToGrid w:val="0"/>
              <w:spacing w:beforeLines="50"/>
              <w:jc w:val="left"/>
              <w:outlineLvl w:val="9"/>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（7）不能按约定继续履行合同的。</w:t>
            </w:r>
          </w:p>
        </w:tc>
        <w:tc>
          <w:tcPr>
            <w:tcW w:w="1344" w:type="dxa"/>
            <w:tcBorders>
              <w:top w:val="single" w:color="auto" w:sz="4" w:space="0"/>
              <w:left w:val="single" w:color="auto" w:sz="4" w:space="0"/>
              <w:bottom w:val="single" w:color="auto" w:sz="4" w:space="0"/>
              <w:right w:val="single" w:color="auto" w:sz="4" w:space="0"/>
            </w:tcBorders>
          </w:tcPr>
          <w:p w14:paraId="6E652903">
            <w:pPr>
              <w:snapToGrid w:val="0"/>
              <w:spacing w:beforeLines="50"/>
              <w:jc w:val="center"/>
              <w:outlineLvl w:val="9"/>
              <w:rPr>
                <w:rFonts w:hint="eastAsia" w:ascii="仿宋" w:hAnsi="仿宋" w:eastAsia="仿宋"/>
                <w:color w:val="auto"/>
                <w:sz w:val="24"/>
                <w:highlight w:val="none"/>
              </w:rPr>
            </w:pPr>
          </w:p>
        </w:tc>
        <w:tc>
          <w:tcPr>
            <w:tcW w:w="1328" w:type="dxa"/>
            <w:tcBorders>
              <w:top w:val="single" w:color="auto" w:sz="4" w:space="0"/>
              <w:left w:val="single" w:color="auto" w:sz="4" w:space="0"/>
              <w:bottom w:val="single" w:color="auto" w:sz="4" w:space="0"/>
              <w:right w:val="single" w:color="auto" w:sz="4" w:space="0"/>
            </w:tcBorders>
          </w:tcPr>
          <w:p w14:paraId="61F3D36F">
            <w:pPr>
              <w:snapToGrid w:val="0"/>
              <w:spacing w:beforeLines="50"/>
              <w:jc w:val="center"/>
              <w:outlineLvl w:val="9"/>
              <w:rPr>
                <w:rFonts w:hint="eastAsia" w:ascii="仿宋" w:hAnsi="仿宋" w:eastAsia="仿宋"/>
                <w:color w:val="auto"/>
                <w:sz w:val="24"/>
                <w:highlight w:val="none"/>
              </w:rPr>
            </w:pPr>
          </w:p>
        </w:tc>
        <w:tc>
          <w:tcPr>
            <w:tcW w:w="716" w:type="dxa"/>
            <w:tcBorders>
              <w:top w:val="single" w:color="auto" w:sz="4" w:space="0"/>
              <w:left w:val="single" w:color="auto" w:sz="4" w:space="0"/>
              <w:bottom w:val="single" w:color="auto" w:sz="4" w:space="0"/>
              <w:right w:val="single" w:color="auto" w:sz="4" w:space="0"/>
            </w:tcBorders>
          </w:tcPr>
          <w:p w14:paraId="341A1714">
            <w:pPr>
              <w:snapToGrid w:val="0"/>
              <w:spacing w:beforeLines="50"/>
              <w:jc w:val="center"/>
              <w:outlineLvl w:val="9"/>
              <w:rPr>
                <w:rFonts w:hint="eastAsia" w:ascii="仿宋" w:hAnsi="仿宋" w:eastAsia="仿宋"/>
                <w:color w:val="auto"/>
                <w:sz w:val="24"/>
                <w:highlight w:val="none"/>
              </w:rPr>
            </w:pPr>
          </w:p>
        </w:tc>
      </w:tr>
      <w:tr w14:paraId="0AAECF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391F0C7E">
            <w:pPr>
              <w:snapToGrid w:val="0"/>
              <w:spacing w:beforeLines="50"/>
              <w:jc w:val="center"/>
              <w:outlineLvl w:val="9"/>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7</w:t>
            </w:r>
          </w:p>
        </w:tc>
        <w:tc>
          <w:tcPr>
            <w:tcW w:w="1212" w:type="dxa"/>
            <w:vMerge w:val="continue"/>
            <w:tcBorders>
              <w:left w:val="single" w:color="auto" w:sz="4" w:space="0"/>
              <w:bottom w:val="single" w:color="auto" w:sz="4" w:space="0"/>
              <w:right w:val="single" w:color="auto" w:sz="4" w:space="0"/>
            </w:tcBorders>
          </w:tcPr>
          <w:p w14:paraId="11E8483B">
            <w:pPr>
              <w:snapToGrid w:val="0"/>
              <w:spacing w:beforeLines="50"/>
              <w:jc w:val="center"/>
              <w:outlineLvl w:val="9"/>
              <w:rPr>
                <w:rFonts w:hint="eastAsia" w:ascii="仿宋" w:hAnsi="仿宋" w:eastAsia="仿宋"/>
                <w:color w:val="auto"/>
                <w:sz w:val="24"/>
                <w:highlight w:val="none"/>
              </w:rPr>
            </w:pPr>
          </w:p>
        </w:tc>
        <w:tc>
          <w:tcPr>
            <w:tcW w:w="4281" w:type="dxa"/>
            <w:tcBorders>
              <w:top w:val="single" w:color="auto" w:sz="4" w:space="0"/>
              <w:left w:val="single" w:color="auto" w:sz="4" w:space="0"/>
              <w:bottom w:val="single" w:color="auto" w:sz="4" w:space="0"/>
              <w:right w:val="single" w:color="auto" w:sz="4" w:space="0"/>
            </w:tcBorders>
          </w:tcPr>
          <w:p w14:paraId="3865538E">
            <w:pPr>
              <w:snapToGrid w:val="0"/>
              <w:spacing w:beforeLines="50"/>
              <w:jc w:val="left"/>
              <w:outlineLvl w:val="9"/>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（五）有关要求</w:t>
            </w:r>
          </w:p>
          <w:p w14:paraId="019B7BB0">
            <w:pPr>
              <w:snapToGrid w:val="0"/>
              <w:spacing w:beforeLines="50"/>
              <w:jc w:val="left"/>
              <w:outlineLvl w:val="9"/>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1.成交人严格按照法律法规和标准、规范以及采购文件、政府采购合同的约定，高质量、高水平落实责任范围内的各项清运工作，并接受各级考核监管部门的检查和监督；</w:t>
            </w:r>
          </w:p>
          <w:p w14:paraId="6456C645">
            <w:pPr>
              <w:snapToGrid w:val="0"/>
              <w:spacing w:beforeLines="50"/>
              <w:jc w:val="left"/>
              <w:outlineLvl w:val="9"/>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2.成交人建立健全垃圾清运作业质量自查自评工作机制，健全内部日常作业巡查和监管工作，整理完善自查资料档案，做到制度健全、工作落实、资料齐全，促进垃圾清运作业质量的不断提高；</w:t>
            </w:r>
          </w:p>
          <w:p w14:paraId="6F6C6787">
            <w:pPr>
              <w:snapToGrid w:val="0"/>
              <w:spacing w:beforeLines="50"/>
              <w:jc w:val="left"/>
              <w:outlineLvl w:val="9"/>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3.日常考核和季度考核各项资料应齐全，考核人员应客观、公平、公正，季度考核参加人员应不少于两人同时在场，日常考核应有照片等佐证；</w:t>
            </w:r>
          </w:p>
          <w:p w14:paraId="44B58987">
            <w:pPr>
              <w:snapToGrid w:val="0"/>
              <w:spacing w:beforeLines="50"/>
              <w:jc w:val="left"/>
              <w:outlineLvl w:val="9"/>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4.对群众投诉、媒体曝光的环境卫生问题以及重大节日、活动和上级交办的环卫（垃圾清运）工作要认真制定工作措施，落实整改工作，确保发现的环境卫生问题得以及时、有效地解决。对数字城管案件、12345政府热线、110应急事项、市民投诉等应及时响应、整改，按规定时间回复。</w:t>
            </w:r>
          </w:p>
          <w:p w14:paraId="206EE7DF">
            <w:pPr>
              <w:snapToGrid w:val="0"/>
              <w:spacing w:beforeLines="50"/>
              <w:jc w:val="left"/>
              <w:outlineLvl w:val="9"/>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垃圾转运服务考核细则（详见磋商文件 第3章）</w:t>
            </w:r>
          </w:p>
        </w:tc>
        <w:tc>
          <w:tcPr>
            <w:tcW w:w="1344" w:type="dxa"/>
            <w:tcBorders>
              <w:top w:val="single" w:color="auto" w:sz="4" w:space="0"/>
              <w:left w:val="single" w:color="auto" w:sz="4" w:space="0"/>
              <w:bottom w:val="single" w:color="auto" w:sz="4" w:space="0"/>
              <w:right w:val="single" w:color="auto" w:sz="4" w:space="0"/>
            </w:tcBorders>
          </w:tcPr>
          <w:p w14:paraId="4CB13156">
            <w:pPr>
              <w:snapToGrid w:val="0"/>
              <w:spacing w:beforeLines="50"/>
              <w:jc w:val="center"/>
              <w:outlineLvl w:val="9"/>
              <w:rPr>
                <w:rFonts w:hint="eastAsia" w:ascii="仿宋" w:hAnsi="仿宋" w:eastAsia="仿宋"/>
                <w:color w:val="auto"/>
                <w:sz w:val="24"/>
                <w:highlight w:val="none"/>
              </w:rPr>
            </w:pPr>
          </w:p>
        </w:tc>
        <w:tc>
          <w:tcPr>
            <w:tcW w:w="1328" w:type="dxa"/>
            <w:tcBorders>
              <w:top w:val="single" w:color="auto" w:sz="4" w:space="0"/>
              <w:left w:val="single" w:color="auto" w:sz="4" w:space="0"/>
              <w:bottom w:val="single" w:color="auto" w:sz="4" w:space="0"/>
              <w:right w:val="single" w:color="auto" w:sz="4" w:space="0"/>
            </w:tcBorders>
          </w:tcPr>
          <w:p w14:paraId="5AD1D511">
            <w:pPr>
              <w:snapToGrid w:val="0"/>
              <w:spacing w:beforeLines="50"/>
              <w:jc w:val="center"/>
              <w:outlineLvl w:val="9"/>
              <w:rPr>
                <w:rFonts w:hint="eastAsia" w:ascii="仿宋" w:hAnsi="仿宋" w:eastAsia="仿宋"/>
                <w:color w:val="auto"/>
                <w:sz w:val="24"/>
                <w:highlight w:val="none"/>
              </w:rPr>
            </w:pPr>
          </w:p>
        </w:tc>
        <w:tc>
          <w:tcPr>
            <w:tcW w:w="716" w:type="dxa"/>
            <w:tcBorders>
              <w:top w:val="single" w:color="auto" w:sz="4" w:space="0"/>
              <w:left w:val="single" w:color="auto" w:sz="4" w:space="0"/>
              <w:bottom w:val="single" w:color="auto" w:sz="4" w:space="0"/>
              <w:right w:val="single" w:color="auto" w:sz="4" w:space="0"/>
            </w:tcBorders>
          </w:tcPr>
          <w:p w14:paraId="770E59AB">
            <w:pPr>
              <w:snapToGrid w:val="0"/>
              <w:spacing w:beforeLines="50"/>
              <w:jc w:val="center"/>
              <w:outlineLvl w:val="9"/>
              <w:rPr>
                <w:rFonts w:hint="eastAsia" w:ascii="仿宋" w:hAnsi="仿宋" w:eastAsia="仿宋"/>
                <w:color w:val="auto"/>
                <w:sz w:val="24"/>
                <w:highlight w:val="none"/>
              </w:rPr>
            </w:pPr>
          </w:p>
        </w:tc>
      </w:tr>
      <w:tr w14:paraId="771BBB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188A6921">
            <w:pPr>
              <w:snapToGrid w:val="0"/>
              <w:spacing w:beforeLines="50"/>
              <w:jc w:val="center"/>
              <w:outlineLvl w:val="9"/>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8</w:t>
            </w:r>
          </w:p>
        </w:tc>
        <w:tc>
          <w:tcPr>
            <w:tcW w:w="1212" w:type="dxa"/>
            <w:tcBorders>
              <w:top w:val="single" w:color="auto" w:sz="4" w:space="0"/>
              <w:left w:val="single" w:color="auto" w:sz="4" w:space="0"/>
              <w:bottom w:val="single" w:color="auto" w:sz="4" w:space="0"/>
              <w:right w:val="single" w:color="auto" w:sz="4" w:space="0"/>
            </w:tcBorders>
            <w:vAlign w:val="center"/>
          </w:tcPr>
          <w:p w14:paraId="3E82F038">
            <w:pPr>
              <w:snapToGrid w:val="0"/>
              <w:spacing w:beforeLines="50"/>
              <w:jc w:val="center"/>
              <w:outlineLvl w:val="9"/>
              <w:rPr>
                <w:rFonts w:hint="eastAsia" w:ascii="仿宋" w:hAnsi="仿宋" w:eastAsia="仿宋"/>
                <w:color w:val="auto"/>
                <w:sz w:val="24"/>
                <w:highlight w:val="none"/>
              </w:rPr>
            </w:pPr>
            <w:r>
              <w:rPr>
                <w:rFonts w:hint="eastAsia" w:ascii="仿宋" w:hAnsi="仿宋" w:eastAsia="仿宋"/>
                <w:color w:val="auto"/>
                <w:sz w:val="24"/>
                <w:highlight w:val="none"/>
              </w:rPr>
              <w:t>付款方式</w:t>
            </w:r>
          </w:p>
        </w:tc>
        <w:tc>
          <w:tcPr>
            <w:tcW w:w="4281" w:type="dxa"/>
            <w:tcBorders>
              <w:top w:val="single" w:color="auto" w:sz="4" w:space="0"/>
              <w:left w:val="single" w:color="auto" w:sz="4" w:space="0"/>
              <w:bottom w:val="single" w:color="auto" w:sz="4" w:space="0"/>
              <w:right w:val="single" w:color="auto" w:sz="4" w:space="0"/>
            </w:tcBorders>
          </w:tcPr>
          <w:p w14:paraId="4BEA50A3">
            <w:pPr>
              <w:snapToGrid w:val="0"/>
              <w:spacing w:beforeLines="50"/>
              <w:jc w:val="left"/>
              <w:outlineLvl w:val="9"/>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采取“每日计量、季度结算、结合季度绩效考核结果”的办法。每季度暂按垃圾转运处置服务费中标价和实际垃圾处理量的80%支付，余款于合同满一年后根据考核情况支付。</w:t>
            </w:r>
          </w:p>
        </w:tc>
        <w:tc>
          <w:tcPr>
            <w:tcW w:w="1344" w:type="dxa"/>
            <w:tcBorders>
              <w:top w:val="single" w:color="auto" w:sz="4" w:space="0"/>
              <w:left w:val="single" w:color="auto" w:sz="4" w:space="0"/>
              <w:bottom w:val="single" w:color="auto" w:sz="4" w:space="0"/>
              <w:right w:val="single" w:color="auto" w:sz="4" w:space="0"/>
            </w:tcBorders>
          </w:tcPr>
          <w:p w14:paraId="76709591">
            <w:pPr>
              <w:snapToGrid w:val="0"/>
              <w:spacing w:beforeLines="50"/>
              <w:jc w:val="center"/>
              <w:outlineLvl w:val="9"/>
              <w:rPr>
                <w:rFonts w:hint="eastAsia" w:ascii="仿宋" w:hAnsi="仿宋" w:eastAsia="仿宋"/>
                <w:color w:val="auto"/>
                <w:sz w:val="24"/>
                <w:highlight w:val="none"/>
              </w:rPr>
            </w:pPr>
          </w:p>
        </w:tc>
        <w:tc>
          <w:tcPr>
            <w:tcW w:w="1328" w:type="dxa"/>
            <w:tcBorders>
              <w:top w:val="single" w:color="auto" w:sz="4" w:space="0"/>
              <w:left w:val="single" w:color="auto" w:sz="4" w:space="0"/>
              <w:bottom w:val="single" w:color="auto" w:sz="4" w:space="0"/>
              <w:right w:val="single" w:color="auto" w:sz="4" w:space="0"/>
            </w:tcBorders>
          </w:tcPr>
          <w:p w14:paraId="68F5ECD1">
            <w:pPr>
              <w:snapToGrid w:val="0"/>
              <w:spacing w:beforeLines="50"/>
              <w:jc w:val="center"/>
              <w:outlineLvl w:val="9"/>
              <w:rPr>
                <w:rFonts w:hint="eastAsia" w:ascii="仿宋" w:hAnsi="仿宋" w:eastAsia="仿宋"/>
                <w:color w:val="auto"/>
                <w:sz w:val="24"/>
                <w:highlight w:val="none"/>
              </w:rPr>
            </w:pPr>
          </w:p>
        </w:tc>
        <w:tc>
          <w:tcPr>
            <w:tcW w:w="716" w:type="dxa"/>
            <w:tcBorders>
              <w:top w:val="single" w:color="auto" w:sz="4" w:space="0"/>
              <w:left w:val="single" w:color="auto" w:sz="4" w:space="0"/>
              <w:bottom w:val="single" w:color="auto" w:sz="4" w:space="0"/>
              <w:right w:val="single" w:color="auto" w:sz="4" w:space="0"/>
            </w:tcBorders>
          </w:tcPr>
          <w:p w14:paraId="369D430F">
            <w:pPr>
              <w:snapToGrid w:val="0"/>
              <w:spacing w:beforeLines="50"/>
              <w:jc w:val="center"/>
              <w:outlineLvl w:val="9"/>
              <w:rPr>
                <w:rFonts w:hint="eastAsia" w:ascii="仿宋" w:hAnsi="仿宋" w:eastAsia="仿宋"/>
                <w:color w:val="auto"/>
                <w:sz w:val="24"/>
                <w:highlight w:val="none"/>
              </w:rPr>
            </w:pPr>
          </w:p>
        </w:tc>
      </w:tr>
      <w:tr w14:paraId="74BA6E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01029524">
            <w:pPr>
              <w:snapToGrid w:val="0"/>
              <w:spacing w:beforeLines="50"/>
              <w:jc w:val="center"/>
              <w:outlineLvl w:val="9"/>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9</w:t>
            </w:r>
          </w:p>
        </w:tc>
        <w:tc>
          <w:tcPr>
            <w:tcW w:w="1212" w:type="dxa"/>
            <w:tcBorders>
              <w:top w:val="single" w:color="auto" w:sz="4" w:space="0"/>
              <w:left w:val="single" w:color="auto" w:sz="4" w:space="0"/>
              <w:bottom w:val="single" w:color="auto" w:sz="4" w:space="0"/>
              <w:right w:val="single" w:color="auto" w:sz="4" w:space="0"/>
            </w:tcBorders>
          </w:tcPr>
          <w:p w14:paraId="699A8251">
            <w:pPr>
              <w:snapToGrid w:val="0"/>
              <w:spacing w:beforeLines="50"/>
              <w:jc w:val="center"/>
              <w:outlineLvl w:val="9"/>
              <w:rPr>
                <w:rFonts w:hint="eastAsia" w:ascii="仿宋" w:hAnsi="仿宋" w:eastAsia="仿宋"/>
                <w:color w:val="auto"/>
                <w:sz w:val="24"/>
                <w:highlight w:val="none"/>
              </w:rPr>
            </w:pPr>
            <w:r>
              <w:rPr>
                <w:rFonts w:hint="eastAsia" w:ascii="仿宋" w:hAnsi="仿宋" w:eastAsia="仿宋"/>
                <w:color w:val="auto"/>
                <w:sz w:val="24"/>
                <w:highlight w:val="none"/>
              </w:rPr>
              <w:t>磋商过程中可能会实质性变动的内容</w:t>
            </w:r>
          </w:p>
        </w:tc>
        <w:tc>
          <w:tcPr>
            <w:tcW w:w="4281" w:type="dxa"/>
            <w:tcBorders>
              <w:top w:val="single" w:color="auto" w:sz="4" w:space="0"/>
              <w:left w:val="single" w:color="auto" w:sz="4" w:space="0"/>
              <w:bottom w:val="single" w:color="auto" w:sz="4" w:space="0"/>
              <w:right w:val="single" w:color="auto" w:sz="4" w:space="0"/>
            </w:tcBorders>
          </w:tcPr>
          <w:p w14:paraId="3D06E645">
            <w:pPr>
              <w:snapToGrid w:val="0"/>
              <w:spacing w:beforeLines="50"/>
              <w:jc w:val="left"/>
              <w:outlineLvl w:val="9"/>
              <w:rPr>
                <w:rFonts w:hint="default" w:ascii="仿宋" w:hAnsi="仿宋" w:eastAsia="仿宋"/>
                <w:color w:val="auto"/>
                <w:sz w:val="24"/>
                <w:highlight w:val="none"/>
                <w:lang w:val="en-US" w:eastAsia="zh-CN"/>
              </w:rPr>
            </w:pPr>
            <w:r>
              <w:rPr>
                <w:rFonts w:hint="default" w:ascii="仿宋" w:hAnsi="仿宋" w:eastAsia="仿宋"/>
                <w:color w:val="auto"/>
                <w:sz w:val="24"/>
                <w:highlight w:val="none"/>
                <w:lang w:val="en-US" w:eastAsia="zh-CN"/>
              </w:rPr>
              <w:t>采购需求中的技术、服务要求以及合同草案条款。</w:t>
            </w:r>
          </w:p>
        </w:tc>
        <w:tc>
          <w:tcPr>
            <w:tcW w:w="1344" w:type="dxa"/>
            <w:tcBorders>
              <w:top w:val="single" w:color="auto" w:sz="4" w:space="0"/>
              <w:left w:val="single" w:color="auto" w:sz="4" w:space="0"/>
              <w:bottom w:val="single" w:color="auto" w:sz="4" w:space="0"/>
              <w:right w:val="single" w:color="auto" w:sz="4" w:space="0"/>
            </w:tcBorders>
          </w:tcPr>
          <w:p w14:paraId="3340C155">
            <w:pPr>
              <w:snapToGrid w:val="0"/>
              <w:spacing w:beforeLines="50"/>
              <w:jc w:val="center"/>
              <w:outlineLvl w:val="9"/>
              <w:rPr>
                <w:rFonts w:hint="eastAsia" w:ascii="仿宋" w:hAnsi="仿宋" w:eastAsia="仿宋"/>
                <w:color w:val="auto"/>
                <w:sz w:val="24"/>
                <w:highlight w:val="none"/>
              </w:rPr>
            </w:pPr>
          </w:p>
        </w:tc>
        <w:tc>
          <w:tcPr>
            <w:tcW w:w="1328" w:type="dxa"/>
            <w:tcBorders>
              <w:top w:val="single" w:color="auto" w:sz="4" w:space="0"/>
              <w:left w:val="single" w:color="auto" w:sz="4" w:space="0"/>
              <w:bottom w:val="single" w:color="auto" w:sz="4" w:space="0"/>
              <w:right w:val="single" w:color="auto" w:sz="4" w:space="0"/>
            </w:tcBorders>
          </w:tcPr>
          <w:p w14:paraId="7961E8C9">
            <w:pPr>
              <w:snapToGrid w:val="0"/>
              <w:spacing w:beforeLines="50"/>
              <w:jc w:val="center"/>
              <w:outlineLvl w:val="9"/>
              <w:rPr>
                <w:rFonts w:hint="eastAsia" w:ascii="仿宋" w:hAnsi="仿宋" w:eastAsia="仿宋"/>
                <w:color w:val="auto"/>
                <w:sz w:val="24"/>
                <w:highlight w:val="none"/>
              </w:rPr>
            </w:pPr>
          </w:p>
        </w:tc>
        <w:tc>
          <w:tcPr>
            <w:tcW w:w="716" w:type="dxa"/>
            <w:tcBorders>
              <w:top w:val="single" w:color="auto" w:sz="4" w:space="0"/>
              <w:left w:val="single" w:color="auto" w:sz="4" w:space="0"/>
              <w:bottom w:val="single" w:color="auto" w:sz="4" w:space="0"/>
              <w:right w:val="single" w:color="auto" w:sz="4" w:space="0"/>
            </w:tcBorders>
          </w:tcPr>
          <w:p w14:paraId="4864228E">
            <w:pPr>
              <w:snapToGrid w:val="0"/>
              <w:spacing w:beforeLines="50"/>
              <w:jc w:val="center"/>
              <w:outlineLvl w:val="9"/>
              <w:rPr>
                <w:rFonts w:hint="eastAsia" w:ascii="仿宋" w:hAnsi="仿宋" w:eastAsia="仿宋"/>
                <w:color w:val="auto"/>
                <w:sz w:val="24"/>
                <w:highlight w:val="none"/>
              </w:rPr>
            </w:pPr>
          </w:p>
        </w:tc>
      </w:tr>
      <w:tr w14:paraId="358D29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7DE0669D">
            <w:pPr>
              <w:snapToGrid w:val="0"/>
              <w:spacing w:beforeLines="50"/>
              <w:jc w:val="center"/>
              <w:outlineLvl w:val="9"/>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10</w:t>
            </w:r>
          </w:p>
        </w:tc>
        <w:tc>
          <w:tcPr>
            <w:tcW w:w="1212" w:type="dxa"/>
            <w:vMerge w:val="restart"/>
            <w:tcBorders>
              <w:top w:val="single" w:color="auto" w:sz="4" w:space="0"/>
              <w:left w:val="single" w:color="auto" w:sz="4" w:space="0"/>
              <w:right w:val="single" w:color="auto" w:sz="4" w:space="0"/>
            </w:tcBorders>
            <w:vAlign w:val="center"/>
          </w:tcPr>
          <w:p w14:paraId="18FE8038">
            <w:pPr>
              <w:snapToGrid w:val="0"/>
              <w:spacing w:beforeLines="50"/>
              <w:jc w:val="center"/>
              <w:outlineLvl w:val="9"/>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其他要求</w:t>
            </w:r>
          </w:p>
        </w:tc>
        <w:tc>
          <w:tcPr>
            <w:tcW w:w="4281" w:type="dxa"/>
            <w:tcBorders>
              <w:top w:val="single" w:color="auto" w:sz="4" w:space="0"/>
              <w:left w:val="single" w:color="auto" w:sz="4" w:space="0"/>
              <w:bottom w:val="single" w:color="auto" w:sz="4" w:space="0"/>
              <w:right w:val="single" w:color="auto" w:sz="4" w:space="0"/>
            </w:tcBorders>
          </w:tcPr>
          <w:p w14:paraId="52B88DB4">
            <w:pPr>
              <w:snapToGrid w:val="0"/>
              <w:spacing w:beforeLines="50"/>
              <w:jc w:val="left"/>
              <w:outlineLvl w:val="9"/>
              <w:rPr>
                <w:rFonts w:hint="default" w:ascii="仿宋" w:hAnsi="仿宋" w:eastAsia="仿宋"/>
                <w:color w:val="auto"/>
                <w:sz w:val="24"/>
                <w:highlight w:val="none"/>
                <w:lang w:val="en-US" w:eastAsia="zh-CN"/>
              </w:rPr>
            </w:pPr>
            <w:r>
              <w:rPr>
                <w:rFonts w:hint="default" w:ascii="仿宋" w:hAnsi="仿宋" w:eastAsia="仿宋"/>
                <w:color w:val="auto"/>
                <w:sz w:val="24"/>
                <w:highlight w:val="none"/>
                <w:lang w:val="en-US" w:eastAsia="zh-CN"/>
              </w:rPr>
              <w:t>（一）报价要求：</w:t>
            </w:r>
          </w:p>
          <w:p w14:paraId="3D40C843">
            <w:pPr>
              <w:snapToGrid w:val="0"/>
              <w:spacing w:beforeLines="50"/>
              <w:jc w:val="left"/>
              <w:outlineLvl w:val="9"/>
              <w:rPr>
                <w:rFonts w:hint="default" w:ascii="仿宋" w:hAnsi="仿宋" w:eastAsia="仿宋"/>
                <w:color w:val="auto"/>
                <w:sz w:val="24"/>
                <w:highlight w:val="none"/>
                <w:lang w:val="en-US" w:eastAsia="zh-CN"/>
              </w:rPr>
            </w:pPr>
            <w:r>
              <w:rPr>
                <w:rFonts w:hint="default" w:ascii="仿宋" w:hAnsi="仿宋" w:eastAsia="仿宋"/>
                <w:color w:val="auto"/>
                <w:sz w:val="24"/>
                <w:highlight w:val="none"/>
                <w:lang w:val="en-US" w:eastAsia="zh-CN"/>
              </w:rPr>
              <w:t>本项目按转运每吨垃圾的单价报价（元/吨），依据采购人与垃圾接受单位共同出具的“确认单”确认的吨数据实结算，每年结算总量不超过20000吨，超过部分成交人无偿服务。响应供应商报价应包含运输、装卸、保险、验收、人员培训、设备运行维护、检验、税金、代理服务费等与本项目相关的一切费用。成交价之外采购人不再支付任何费用。</w:t>
            </w:r>
          </w:p>
        </w:tc>
        <w:tc>
          <w:tcPr>
            <w:tcW w:w="1344" w:type="dxa"/>
            <w:tcBorders>
              <w:top w:val="single" w:color="auto" w:sz="4" w:space="0"/>
              <w:left w:val="single" w:color="auto" w:sz="4" w:space="0"/>
              <w:bottom w:val="single" w:color="auto" w:sz="4" w:space="0"/>
              <w:right w:val="single" w:color="auto" w:sz="4" w:space="0"/>
            </w:tcBorders>
          </w:tcPr>
          <w:p w14:paraId="7F580051">
            <w:pPr>
              <w:snapToGrid w:val="0"/>
              <w:spacing w:beforeLines="50"/>
              <w:jc w:val="center"/>
              <w:outlineLvl w:val="9"/>
              <w:rPr>
                <w:rFonts w:hint="eastAsia" w:ascii="仿宋" w:hAnsi="仿宋" w:eastAsia="仿宋"/>
                <w:color w:val="auto"/>
                <w:sz w:val="24"/>
                <w:highlight w:val="none"/>
              </w:rPr>
            </w:pPr>
          </w:p>
        </w:tc>
        <w:tc>
          <w:tcPr>
            <w:tcW w:w="1328" w:type="dxa"/>
            <w:tcBorders>
              <w:top w:val="single" w:color="auto" w:sz="4" w:space="0"/>
              <w:left w:val="single" w:color="auto" w:sz="4" w:space="0"/>
              <w:bottom w:val="single" w:color="auto" w:sz="4" w:space="0"/>
              <w:right w:val="single" w:color="auto" w:sz="4" w:space="0"/>
            </w:tcBorders>
          </w:tcPr>
          <w:p w14:paraId="7D5B26EA">
            <w:pPr>
              <w:snapToGrid w:val="0"/>
              <w:spacing w:beforeLines="50"/>
              <w:jc w:val="center"/>
              <w:outlineLvl w:val="9"/>
              <w:rPr>
                <w:rFonts w:hint="eastAsia" w:ascii="仿宋" w:hAnsi="仿宋" w:eastAsia="仿宋"/>
                <w:color w:val="auto"/>
                <w:sz w:val="24"/>
                <w:highlight w:val="none"/>
              </w:rPr>
            </w:pPr>
          </w:p>
        </w:tc>
        <w:tc>
          <w:tcPr>
            <w:tcW w:w="716" w:type="dxa"/>
            <w:tcBorders>
              <w:top w:val="single" w:color="auto" w:sz="4" w:space="0"/>
              <w:left w:val="single" w:color="auto" w:sz="4" w:space="0"/>
              <w:bottom w:val="single" w:color="auto" w:sz="4" w:space="0"/>
              <w:right w:val="single" w:color="auto" w:sz="4" w:space="0"/>
            </w:tcBorders>
          </w:tcPr>
          <w:p w14:paraId="49382618">
            <w:pPr>
              <w:snapToGrid w:val="0"/>
              <w:spacing w:beforeLines="50"/>
              <w:jc w:val="center"/>
              <w:outlineLvl w:val="9"/>
              <w:rPr>
                <w:rFonts w:hint="eastAsia" w:ascii="仿宋" w:hAnsi="仿宋" w:eastAsia="仿宋"/>
                <w:color w:val="auto"/>
                <w:sz w:val="24"/>
                <w:highlight w:val="none"/>
              </w:rPr>
            </w:pPr>
          </w:p>
        </w:tc>
      </w:tr>
      <w:tr w14:paraId="7CF037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7CB88483">
            <w:pPr>
              <w:snapToGrid w:val="0"/>
              <w:spacing w:beforeLines="50"/>
              <w:jc w:val="center"/>
              <w:outlineLvl w:val="9"/>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11</w:t>
            </w:r>
          </w:p>
        </w:tc>
        <w:tc>
          <w:tcPr>
            <w:tcW w:w="1212" w:type="dxa"/>
            <w:vMerge w:val="continue"/>
            <w:tcBorders>
              <w:left w:val="single" w:color="auto" w:sz="4" w:space="0"/>
              <w:right w:val="single" w:color="auto" w:sz="4" w:space="0"/>
            </w:tcBorders>
            <w:vAlign w:val="center"/>
          </w:tcPr>
          <w:p w14:paraId="32698047">
            <w:pPr>
              <w:snapToGrid w:val="0"/>
              <w:spacing w:beforeLines="50"/>
              <w:jc w:val="center"/>
              <w:outlineLvl w:val="9"/>
              <w:rPr>
                <w:rFonts w:hint="eastAsia" w:ascii="仿宋" w:hAnsi="仿宋" w:eastAsia="仿宋"/>
                <w:color w:val="auto"/>
                <w:sz w:val="24"/>
                <w:highlight w:val="none"/>
                <w:lang w:val="en-US" w:eastAsia="zh-CN"/>
              </w:rPr>
            </w:pPr>
          </w:p>
        </w:tc>
        <w:tc>
          <w:tcPr>
            <w:tcW w:w="4281" w:type="dxa"/>
            <w:tcBorders>
              <w:top w:val="single" w:color="auto" w:sz="4" w:space="0"/>
              <w:left w:val="single" w:color="auto" w:sz="4" w:space="0"/>
              <w:bottom w:val="single" w:color="auto" w:sz="4" w:space="0"/>
              <w:right w:val="single" w:color="auto" w:sz="4" w:space="0"/>
            </w:tcBorders>
          </w:tcPr>
          <w:p w14:paraId="46C16E22">
            <w:pPr>
              <w:snapToGrid w:val="0"/>
              <w:spacing w:beforeLines="50"/>
              <w:jc w:val="left"/>
              <w:outlineLvl w:val="9"/>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（二）报价含响应供应商为完成采购文件全部要求内容应承担的一切成本、费用和支出以及供应商的合理利润等交付使用前一切费用。不接受选择性报价。</w:t>
            </w:r>
          </w:p>
        </w:tc>
        <w:tc>
          <w:tcPr>
            <w:tcW w:w="1344" w:type="dxa"/>
            <w:tcBorders>
              <w:top w:val="single" w:color="auto" w:sz="4" w:space="0"/>
              <w:left w:val="single" w:color="auto" w:sz="4" w:space="0"/>
              <w:bottom w:val="single" w:color="auto" w:sz="4" w:space="0"/>
              <w:right w:val="single" w:color="auto" w:sz="4" w:space="0"/>
            </w:tcBorders>
          </w:tcPr>
          <w:p w14:paraId="73631B58">
            <w:pPr>
              <w:snapToGrid w:val="0"/>
              <w:spacing w:beforeLines="50"/>
              <w:jc w:val="center"/>
              <w:outlineLvl w:val="9"/>
              <w:rPr>
                <w:rFonts w:hint="eastAsia" w:ascii="仿宋" w:hAnsi="仿宋" w:eastAsia="仿宋"/>
                <w:color w:val="auto"/>
                <w:sz w:val="24"/>
                <w:highlight w:val="none"/>
              </w:rPr>
            </w:pPr>
          </w:p>
        </w:tc>
        <w:tc>
          <w:tcPr>
            <w:tcW w:w="1328" w:type="dxa"/>
            <w:tcBorders>
              <w:top w:val="single" w:color="auto" w:sz="4" w:space="0"/>
              <w:left w:val="single" w:color="auto" w:sz="4" w:space="0"/>
              <w:bottom w:val="single" w:color="auto" w:sz="4" w:space="0"/>
              <w:right w:val="single" w:color="auto" w:sz="4" w:space="0"/>
            </w:tcBorders>
          </w:tcPr>
          <w:p w14:paraId="3BDC6FD1">
            <w:pPr>
              <w:snapToGrid w:val="0"/>
              <w:spacing w:beforeLines="50"/>
              <w:jc w:val="center"/>
              <w:outlineLvl w:val="9"/>
              <w:rPr>
                <w:rFonts w:hint="eastAsia" w:ascii="仿宋" w:hAnsi="仿宋" w:eastAsia="仿宋"/>
                <w:color w:val="auto"/>
                <w:sz w:val="24"/>
                <w:highlight w:val="none"/>
              </w:rPr>
            </w:pPr>
          </w:p>
        </w:tc>
        <w:tc>
          <w:tcPr>
            <w:tcW w:w="716" w:type="dxa"/>
            <w:tcBorders>
              <w:top w:val="single" w:color="auto" w:sz="4" w:space="0"/>
              <w:left w:val="single" w:color="auto" w:sz="4" w:space="0"/>
              <w:bottom w:val="single" w:color="auto" w:sz="4" w:space="0"/>
              <w:right w:val="single" w:color="auto" w:sz="4" w:space="0"/>
            </w:tcBorders>
          </w:tcPr>
          <w:p w14:paraId="352026B6">
            <w:pPr>
              <w:snapToGrid w:val="0"/>
              <w:spacing w:beforeLines="50"/>
              <w:jc w:val="center"/>
              <w:outlineLvl w:val="9"/>
              <w:rPr>
                <w:rFonts w:hint="eastAsia" w:ascii="仿宋" w:hAnsi="仿宋" w:eastAsia="仿宋"/>
                <w:color w:val="auto"/>
                <w:sz w:val="24"/>
                <w:highlight w:val="none"/>
              </w:rPr>
            </w:pPr>
          </w:p>
        </w:tc>
      </w:tr>
      <w:tr w14:paraId="6E8407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37E17B63">
            <w:pPr>
              <w:snapToGrid w:val="0"/>
              <w:spacing w:beforeLines="50"/>
              <w:jc w:val="center"/>
              <w:outlineLvl w:val="9"/>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12</w:t>
            </w:r>
          </w:p>
        </w:tc>
        <w:tc>
          <w:tcPr>
            <w:tcW w:w="1212" w:type="dxa"/>
            <w:vMerge w:val="continue"/>
            <w:tcBorders>
              <w:left w:val="single" w:color="auto" w:sz="4" w:space="0"/>
              <w:bottom w:val="single" w:color="auto" w:sz="4" w:space="0"/>
              <w:right w:val="single" w:color="auto" w:sz="4" w:space="0"/>
            </w:tcBorders>
          </w:tcPr>
          <w:p w14:paraId="523A1D29">
            <w:pPr>
              <w:snapToGrid w:val="0"/>
              <w:spacing w:beforeLines="50"/>
              <w:jc w:val="center"/>
              <w:outlineLvl w:val="9"/>
              <w:rPr>
                <w:rFonts w:hint="eastAsia" w:ascii="仿宋" w:hAnsi="仿宋" w:eastAsia="仿宋"/>
                <w:color w:val="auto"/>
                <w:sz w:val="24"/>
                <w:highlight w:val="none"/>
              </w:rPr>
            </w:pPr>
          </w:p>
        </w:tc>
        <w:tc>
          <w:tcPr>
            <w:tcW w:w="4281" w:type="dxa"/>
            <w:tcBorders>
              <w:top w:val="single" w:color="auto" w:sz="4" w:space="0"/>
              <w:left w:val="single" w:color="auto" w:sz="4" w:space="0"/>
              <w:bottom w:val="single" w:color="auto" w:sz="4" w:space="0"/>
              <w:right w:val="single" w:color="auto" w:sz="4" w:space="0"/>
            </w:tcBorders>
          </w:tcPr>
          <w:p w14:paraId="677A41AC">
            <w:pPr>
              <w:snapToGrid w:val="0"/>
              <w:spacing w:beforeLines="50"/>
              <w:jc w:val="left"/>
              <w:outlineLvl w:val="9"/>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（三）响应供应商成交后不得将成交项目分包或者转让给其他主体实施。</w:t>
            </w:r>
          </w:p>
        </w:tc>
        <w:tc>
          <w:tcPr>
            <w:tcW w:w="1344" w:type="dxa"/>
            <w:tcBorders>
              <w:top w:val="single" w:color="auto" w:sz="4" w:space="0"/>
              <w:left w:val="single" w:color="auto" w:sz="4" w:space="0"/>
              <w:bottom w:val="single" w:color="auto" w:sz="4" w:space="0"/>
              <w:right w:val="single" w:color="auto" w:sz="4" w:space="0"/>
            </w:tcBorders>
          </w:tcPr>
          <w:p w14:paraId="616B3580">
            <w:pPr>
              <w:snapToGrid w:val="0"/>
              <w:spacing w:beforeLines="50"/>
              <w:jc w:val="center"/>
              <w:outlineLvl w:val="9"/>
              <w:rPr>
                <w:rFonts w:hint="eastAsia" w:ascii="仿宋" w:hAnsi="仿宋" w:eastAsia="仿宋"/>
                <w:color w:val="auto"/>
                <w:sz w:val="24"/>
                <w:highlight w:val="none"/>
              </w:rPr>
            </w:pPr>
          </w:p>
        </w:tc>
        <w:tc>
          <w:tcPr>
            <w:tcW w:w="1328" w:type="dxa"/>
            <w:tcBorders>
              <w:top w:val="single" w:color="auto" w:sz="4" w:space="0"/>
              <w:left w:val="single" w:color="auto" w:sz="4" w:space="0"/>
              <w:bottom w:val="single" w:color="auto" w:sz="4" w:space="0"/>
              <w:right w:val="single" w:color="auto" w:sz="4" w:space="0"/>
            </w:tcBorders>
          </w:tcPr>
          <w:p w14:paraId="58F239BD">
            <w:pPr>
              <w:snapToGrid w:val="0"/>
              <w:spacing w:beforeLines="50"/>
              <w:jc w:val="center"/>
              <w:outlineLvl w:val="9"/>
              <w:rPr>
                <w:rFonts w:hint="eastAsia" w:ascii="仿宋" w:hAnsi="仿宋" w:eastAsia="仿宋"/>
                <w:color w:val="auto"/>
                <w:sz w:val="24"/>
                <w:highlight w:val="none"/>
              </w:rPr>
            </w:pPr>
          </w:p>
        </w:tc>
        <w:tc>
          <w:tcPr>
            <w:tcW w:w="716" w:type="dxa"/>
            <w:tcBorders>
              <w:top w:val="single" w:color="auto" w:sz="4" w:space="0"/>
              <w:left w:val="single" w:color="auto" w:sz="4" w:space="0"/>
              <w:bottom w:val="single" w:color="auto" w:sz="4" w:space="0"/>
              <w:right w:val="single" w:color="auto" w:sz="4" w:space="0"/>
            </w:tcBorders>
          </w:tcPr>
          <w:p w14:paraId="2E15ECFC">
            <w:pPr>
              <w:snapToGrid w:val="0"/>
              <w:spacing w:beforeLines="50"/>
              <w:jc w:val="center"/>
              <w:outlineLvl w:val="9"/>
              <w:rPr>
                <w:rFonts w:hint="eastAsia" w:ascii="仿宋" w:hAnsi="仿宋" w:eastAsia="仿宋"/>
                <w:color w:val="auto"/>
                <w:sz w:val="24"/>
                <w:highlight w:val="none"/>
              </w:rPr>
            </w:pPr>
          </w:p>
        </w:tc>
      </w:tr>
    </w:tbl>
    <w:p w14:paraId="66940619">
      <w:pPr>
        <w:outlineLvl w:val="9"/>
        <w:rPr>
          <w:rFonts w:ascii="仿宋" w:hAnsi="仿宋" w:eastAsia="仿宋"/>
          <w:color w:val="auto"/>
          <w:szCs w:val="21"/>
          <w:highlight w:val="none"/>
        </w:rPr>
      </w:pPr>
      <w:r>
        <w:rPr>
          <w:rFonts w:hint="eastAsia" w:ascii="仿宋" w:hAnsi="仿宋" w:eastAsia="仿宋"/>
          <w:color w:val="auto"/>
          <w:szCs w:val="21"/>
          <w:highlight w:val="none"/>
        </w:rPr>
        <w:t>注：按照竞争性磋商文件要求详细填列，可增减行。</w:t>
      </w:r>
    </w:p>
    <w:p w14:paraId="720CBAA7">
      <w:pPr>
        <w:ind w:firstLine="560" w:firstLineChars="200"/>
        <w:outlineLvl w:val="9"/>
        <w:rPr>
          <w:rFonts w:hint="eastAsia" w:ascii="仿宋" w:hAnsi="仿宋" w:eastAsia="仿宋" w:cs="Times New Roman"/>
          <w:bCs/>
          <w:color w:val="auto"/>
          <w:sz w:val="28"/>
          <w:szCs w:val="28"/>
          <w:highlight w:val="none"/>
        </w:rPr>
      </w:pPr>
    </w:p>
    <w:p w14:paraId="18B6961C">
      <w:pPr>
        <w:numPr>
          <w:ilvl w:val="0"/>
          <w:numId w:val="5"/>
        </w:numPr>
        <w:ind w:left="0" w:leftChars="0" w:firstLine="560" w:firstLineChars="200"/>
        <w:outlineLvl w:val="9"/>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竞争性磋商文件规定提交的其他材料</w:t>
      </w:r>
    </w:p>
    <w:p w14:paraId="764DF76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Times New Roman"/>
          <w:bCs/>
          <w:color w:val="auto"/>
          <w:sz w:val="28"/>
          <w:szCs w:val="28"/>
          <w:highlight w:val="none"/>
          <w:lang w:val="en-US" w:eastAsia="zh-CN"/>
        </w:rPr>
      </w:pPr>
      <w:r>
        <w:rPr>
          <w:rFonts w:hint="eastAsia" w:ascii="仿宋" w:hAnsi="仿宋" w:eastAsia="仿宋" w:cs="Times New Roman"/>
          <w:bCs/>
          <w:color w:val="auto"/>
          <w:sz w:val="28"/>
          <w:szCs w:val="28"/>
          <w:highlight w:val="none"/>
          <w:lang w:val="en-US" w:eastAsia="zh-CN"/>
        </w:rPr>
        <w:t>1.管理制度；</w:t>
      </w:r>
    </w:p>
    <w:p w14:paraId="621E1B0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lang w:val="en-US" w:eastAsia="zh-CN"/>
        </w:rPr>
        <w:t>2.服务方案；</w:t>
      </w:r>
    </w:p>
    <w:p w14:paraId="27C52CC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lang w:val="en-US" w:eastAsia="zh-CN"/>
        </w:rPr>
        <w:t>3.应急预案；</w:t>
      </w:r>
    </w:p>
    <w:p w14:paraId="7B894AC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lang w:val="en-US" w:eastAsia="zh-CN"/>
        </w:rPr>
        <w:t>4.安全作业保障；</w:t>
      </w:r>
    </w:p>
    <w:p w14:paraId="28CBAB1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lang w:val="en-US" w:eastAsia="zh-CN"/>
        </w:rPr>
        <w:t>5.管理体系认证；</w:t>
      </w:r>
    </w:p>
    <w:p w14:paraId="674FE50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lang w:val="en-US" w:eastAsia="zh-CN"/>
        </w:rPr>
        <w:t>6.创新管理；</w:t>
      </w:r>
    </w:p>
    <w:p w14:paraId="4609BEF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Times New Roman"/>
          <w:bCs/>
          <w:color w:val="auto"/>
          <w:sz w:val="28"/>
          <w:szCs w:val="28"/>
          <w:highlight w:val="none"/>
          <w:lang w:val="en-US" w:eastAsia="zh-CN"/>
        </w:rPr>
      </w:pPr>
      <w:r>
        <w:rPr>
          <w:rFonts w:hint="eastAsia" w:ascii="仿宋" w:hAnsi="仿宋" w:eastAsia="仿宋" w:cs="Times New Roman"/>
          <w:bCs/>
          <w:color w:val="auto"/>
          <w:sz w:val="28"/>
          <w:szCs w:val="28"/>
          <w:highlight w:val="none"/>
          <w:lang w:val="en-US" w:eastAsia="zh-CN"/>
        </w:rPr>
        <w:t>7.服务水平；</w:t>
      </w:r>
    </w:p>
    <w:p w14:paraId="2AA63FE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Times New Roman"/>
          <w:bCs/>
          <w:color w:val="auto"/>
          <w:sz w:val="28"/>
          <w:szCs w:val="28"/>
          <w:highlight w:val="none"/>
          <w:lang w:val="en-US" w:eastAsia="zh-CN"/>
        </w:rPr>
      </w:pPr>
      <w:r>
        <w:rPr>
          <w:rFonts w:hint="eastAsia" w:ascii="仿宋" w:hAnsi="仿宋" w:eastAsia="仿宋" w:cs="Times New Roman"/>
          <w:bCs/>
          <w:color w:val="auto"/>
          <w:sz w:val="28"/>
          <w:szCs w:val="28"/>
          <w:highlight w:val="none"/>
          <w:lang w:val="en-US" w:eastAsia="zh-CN"/>
        </w:rPr>
        <w:t>8.业绩；</w:t>
      </w:r>
    </w:p>
    <w:p w14:paraId="3A79687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Times New Roman"/>
          <w:bCs/>
          <w:color w:val="auto"/>
          <w:sz w:val="28"/>
          <w:szCs w:val="28"/>
          <w:highlight w:val="none"/>
          <w:lang w:val="en-US" w:eastAsia="zh-CN"/>
        </w:rPr>
      </w:pPr>
      <w:r>
        <w:rPr>
          <w:rFonts w:hint="eastAsia" w:ascii="仿宋" w:hAnsi="仿宋" w:eastAsia="仿宋" w:cs="Times New Roman"/>
          <w:bCs/>
          <w:color w:val="auto"/>
          <w:sz w:val="28"/>
          <w:szCs w:val="28"/>
          <w:highlight w:val="none"/>
          <w:lang w:val="en-US" w:eastAsia="zh-CN"/>
        </w:rPr>
        <w:t>9.人员配置；</w:t>
      </w:r>
    </w:p>
    <w:p w14:paraId="43CC1E8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Times New Roman"/>
          <w:bCs/>
          <w:color w:val="auto"/>
          <w:sz w:val="28"/>
          <w:szCs w:val="28"/>
          <w:highlight w:val="none"/>
          <w:lang w:val="en-US" w:eastAsia="zh-CN"/>
        </w:rPr>
      </w:pPr>
      <w:r>
        <w:rPr>
          <w:rFonts w:hint="eastAsia" w:ascii="仿宋" w:hAnsi="仿宋" w:eastAsia="仿宋" w:cs="Times New Roman"/>
          <w:bCs/>
          <w:color w:val="auto"/>
          <w:sz w:val="28"/>
          <w:szCs w:val="28"/>
          <w:highlight w:val="none"/>
          <w:lang w:val="en-US" w:eastAsia="zh-CN"/>
        </w:rPr>
        <w:t>10.设备配置；</w:t>
      </w:r>
    </w:p>
    <w:p w14:paraId="72B1C0C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ascii="黑体" w:hAnsi="黑体" w:eastAsia="黑体"/>
          <w:color w:val="auto"/>
          <w:sz w:val="28"/>
          <w:szCs w:val="28"/>
          <w:highlight w:val="none"/>
        </w:rPr>
      </w:pPr>
      <w:r>
        <w:rPr>
          <w:rFonts w:hint="eastAsia" w:ascii="仿宋" w:hAnsi="仿宋" w:eastAsia="仿宋" w:cs="Times New Roman"/>
          <w:bCs/>
          <w:color w:val="auto"/>
          <w:sz w:val="28"/>
          <w:szCs w:val="28"/>
          <w:highlight w:val="none"/>
          <w:lang w:val="en-US" w:eastAsia="zh-CN"/>
        </w:rPr>
        <w:t>11.服务承诺。</w:t>
      </w:r>
      <w:r>
        <w:rPr>
          <w:rFonts w:ascii="黑体" w:hAnsi="黑体" w:eastAsia="黑体"/>
          <w:color w:val="auto"/>
          <w:sz w:val="28"/>
          <w:szCs w:val="28"/>
          <w:highlight w:val="none"/>
        </w:rPr>
        <w:br w:type="page"/>
      </w:r>
    </w:p>
    <w:p w14:paraId="12D8E722">
      <w:pPr>
        <w:ind w:firstLine="560" w:firstLineChars="200"/>
        <w:outlineLvl w:val="1"/>
        <w:rPr>
          <w:rFonts w:ascii="黑体" w:hAnsi="黑体" w:eastAsia="黑体"/>
          <w:bCs/>
          <w:color w:val="auto"/>
          <w:sz w:val="28"/>
          <w:szCs w:val="28"/>
          <w:highlight w:val="none"/>
        </w:rPr>
      </w:pPr>
      <w:bookmarkStart w:id="76" w:name="_Toc25883"/>
      <w:r>
        <w:rPr>
          <w:rFonts w:hint="eastAsia" w:ascii="黑体" w:hAnsi="黑体" w:eastAsia="黑体"/>
          <w:color w:val="auto"/>
          <w:sz w:val="28"/>
          <w:szCs w:val="28"/>
          <w:highlight w:val="none"/>
        </w:rPr>
        <w:t>三、报价文件</w:t>
      </w:r>
      <w:bookmarkEnd w:id="76"/>
    </w:p>
    <w:p w14:paraId="7D6DD0C6">
      <w:pPr>
        <w:ind w:firstLine="560" w:firstLineChars="200"/>
        <w:outlineLvl w:val="9"/>
        <w:rPr>
          <w:rFonts w:ascii="仿宋" w:hAnsi="仿宋" w:eastAsia="仿宋"/>
          <w:bCs/>
          <w:color w:val="auto"/>
          <w:sz w:val="28"/>
          <w:szCs w:val="28"/>
          <w:highlight w:val="none"/>
        </w:rPr>
      </w:pPr>
      <w:r>
        <w:rPr>
          <w:rFonts w:hint="eastAsia" w:ascii="仿宋" w:hAnsi="仿宋" w:eastAsia="仿宋"/>
          <w:bCs/>
          <w:color w:val="auto"/>
          <w:sz w:val="28"/>
          <w:szCs w:val="28"/>
          <w:highlight w:val="none"/>
        </w:rPr>
        <w:t>（一）竞争性磋商响应报价表</w:t>
      </w:r>
    </w:p>
    <w:p w14:paraId="24BCF801">
      <w:pPr>
        <w:ind w:firstLine="3040" w:firstLineChars="950"/>
        <w:outlineLvl w:val="9"/>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竞争性磋商响应报价表</w:t>
      </w:r>
    </w:p>
    <w:tbl>
      <w:tblPr>
        <w:tblStyle w:val="16"/>
        <w:tblW w:w="8807" w:type="dxa"/>
        <w:tblInd w:w="95" w:type="dxa"/>
        <w:tblLayout w:type="fixed"/>
        <w:tblCellMar>
          <w:top w:w="0" w:type="dxa"/>
          <w:left w:w="108" w:type="dxa"/>
          <w:bottom w:w="0" w:type="dxa"/>
          <w:right w:w="108" w:type="dxa"/>
        </w:tblCellMar>
      </w:tblPr>
      <w:tblGrid>
        <w:gridCol w:w="4087"/>
        <w:gridCol w:w="2220"/>
        <w:gridCol w:w="2500"/>
      </w:tblGrid>
      <w:tr w14:paraId="2268D694">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vAlign w:val="center"/>
          </w:tcPr>
          <w:p w14:paraId="27C36A00">
            <w:pPr>
              <w:widowControl/>
              <w:jc w:val="left"/>
              <w:outlineLvl w:val="9"/>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供应商名称（加盖公章）：</w:t>
            </w:r>
          </w:p>
        </w:tc>
      </w:tr>
      <w:tr w14:paraId="2C21CC07">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vAlign w:val="center"/>
          </w:tcPr>
          <w:p w14:paraId="285DF911">
            <w:pPr>
              <w:widowControl/>
              <w:jc w:val="left"/>
              <w:outlineLvl w:val="9"/>
              <w:rPr>
                <w:rFonts w:hint="default" w:ascii="仿宋" w:hAnsi="仿宋" w:eastAsia="仿宋" w:cs="宋体"/>
                <w:color w:val="auto"/>
                <w:kern w:val="0"/>
                <w:sz w:val="24"/>
                <w:highlight w:val="none"/>
                <w:lang w:val="en-US" w:eastAsia="zh-CN"/>
              </w:rPr>
            </w:pPr>
            <w:r>
              <w:rPr>
                <w:rFonts w:hint="eastAsia" w:ascii="仿宋" w:hAnsi="仿宋" w:eastAsia="仿宋" w:cs="宋体"/>
                <w:color w:val="auto"/>
                <w:kern w:val="0"/>
                <w:sz w:val="24"/>
                <w:highlight w:val="none"/>
              </w:rPr>
              <w:t>项目名称：</w:t>
            </w:r>
            <w:r>
              <w:rPr>
                <w:rFonts w:hint="eastAsia" w:ascii="仿宋" w:hAnsi="仿宋" w:eastAsia="仿宋" w:cs="宋体"/>
                <w:color w:val="auto"/>
                <w:kern w:val="0"/>
                <w:sz w:val="24"/>
                <w:highlight w:val="none"/>
                <w:lang w:val="en-US" w:eastAsia="zh-CN"/>
              </w:rPr>
              <w:t>东陈镇2026年生活垃圾转送服务</w:t>
            </w:r>
          </w:p>
        </w:tc>
      </w:tr>
      <w:tr w14:paraId="756C02D3">
        <w:tblPrEx>
          <w:tblCellMar>
            <w:top w:w="0" w:type="dxa"/>
            <w:left w:w="108" w:type="dxa"/>
            <w:bottom w:w="0" w:type="dxa"/>
            <w:right w:w="108" w:type="dxa"/>
          </w:tblCellMar>
        </w:tblPrEx>
        <w:trPr>
          <w:trHeight w:val="420" w:hRule="atLeast"/>
        </w:trPr>
        <w:tc>
          <w:tcPr>
            <w:tcW w:w="6307" w:type="dxa"/>
            <w:gridSpan w:val="2"/>
            <w:tcBorders>
              <w:top w:val="nil"/>
              <w:left w:val="nil"/>
              <w:bottom w:val="nil"/>
              <w:right w:val="nil"/>
            </w:tcBorders>
            <w:noWrap/>
            <w:vAlign w:val="center"/>
          </w:tcPr>
          <w:p w14:paraId="678FD6F2">
            <w:pPr>
              <w:widowControl/>
              <w:jc w:val="left"/>
              <w:outlineLvl w:val="9"/>
              <w:rPr>
                <w:rFonts w:hint="default" w:ascii="仿宋" w:hAnsi="仿宋" w:eastAsia="仿宋" w:cs="宋体"/>
                <w:color w:val="auto"/>
                <w:kern w:val="0"/>
                <w:sz w:val="24"/>
                <w:highlight w:val="none"/>
                <w:lang w:val="en-US" w:eastAsia="zh-CN"/>
              </w:rPr>
            </w:pPr>
            <w:r>
              <w:rPr>
                <w:rFonts w:hint="eastAsia" w:ascii="仿宋" w:hAnsi="仿宋" w:eastAsia="仿宋" w:cs="宋体"/>
                <w:color w:val="auto"/>
                <w:kern w:val="0"/>
                <w:sz w:val="24"/>
                <w:highlight w:val="none"/>
              </w:rPr>
              <w:t>项目编号：</w:t>
            </w:r>
            <w:r>
              <w:rPr>
                <w:rFonts w:hint="eastAsia" w:ascii="仿宋" w:hAnsi="仿宋" w:eastAsia="仿宋" w:cs="宋体"/>
                <w:color w:val="auto"/>
                <w:kern w:val="0"/>
                <w:sz w:val="24"/>
                <w:highlight w:val="none"/>
                <w:lang w:val="en-US" w:eastAsia="zh-CN"/>
              </w:rPr>
              <w:t>JSZC-320682-NTZJ-C2026-0005</w:t>
            </w:r>
          </w:p>
        </w:tc>
        <w:tc>
          <w:tcPr>
            <w:tcW w:w="2500" w:type="dxa"/>
            <w:tcBorders>
              <w:top w:val="nil"/>
              <w:left w:val="nil"/>
              <w:bottom w:val="nil"/>
              <w:right w:val="nil"/>
            </w:tcBorders>
            <w:noWrap/>
            <w:vAlign w:val="center"/>
          </w:tcPr>
          <w:p w14:paraId="59C49EBF">
            <w:pPr>
              <w:widowControl/>
              <w:jc w:val="left"/>
              <w:outlineLvl w:val="9"/>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分包号：</w:t>
            </w:r>
          </w:p>
        </w:tc>
      </w:tr>
      <w:tr w14:paraId="47D924E1">
        <w:tblPrEx>
          <w:tblCellMar>
            <w:top w:w="0" w:type="dxa"/>
            <w:left w:w="108" w:type="dxa"/>
            <w:bottom w:w="0" w:type="dxa"/>
            <w:right w:w="108" w:type="dxa"/>
          </w:tblCellMar>
        </w:tblPrEx>
        <w:trPr>
          <w:trHeight w:val="525" w:hRule="atLeast"/>
        </w:trPr>
        <w:tc>
          <w:tcPr>
            <w:tcW w:w="4087" w:type="dxa"/>
            <w:vMerge w:val="restart"/>
            <w:tcBorders>
              <w:top w:val="single" w:color="auto" w:sz="4" w:space="0"/>
              <w:left w:val="single" w:color="auto" w:sz="4" w:space="0"/>
              <w:bottom w:val="single" w:color="auto" w:sz="4" w:space="0"/>
              <w:right w:val="single" w:color="auto" w:sz="4" w:space="0"/>
            </w:tcBorders>
            <w:noWrap/>
            <w:vAlign w:val="center"/>
          </w:tcPr>
          <w:p w14:paraId="3E44E7C3">
            <w:pPr>
              <w:widowControl/>
              <w:jc w:val="center"/>
              <w:outlineLvl w:val="9"/>
              <w:rPr>
                <w:rFonts w:hint="eastAsia" w:ascii="仿宋" w:hAnsi="仿宋" w:eastAsia="仿宋" w:cs="宋体"/>
                <w:color w:val="auto"/>
                <w:kern w:val="0"/>
                <w:sz w:val="24"/>
                <w:highlight w:val="none"/>
                <w:lang w:eastAsia="zh-CN"/>
              </w:rPr>
            </w:pPr>
            <w:r>
              <w:rPr>
                <w:rFonts w:hint="eastAsia" w:ascii="仿宋" w:hAnsi="仿宋" w:eastAsia="仿宋" w:cs="宋体"/>
                <w:color w:val="auto"/>
                <w:kern w:val="0"/>
                <w:sz w:val="24"/>
                <w:highlight w:val="none"/>
              </w:rPr>
              <w:t>竞争性磋商响应报价</w:t>
            </w:r>
            <w:r>
              <w:rPr>
                <w:rFonts w:hint="eastAsia" w:ascii="仿宋" w:hAnsi="仿宋" w:eastAsia="仿宋" w:cs="宋体"/>
                <w:color w:val="auto"/>
                <w:kern w:val="0"/>
                <w:sz w:val="24"/>
                <w:highlight w:val="none"/>
                <w:lang w:eastAsia="zh-CN"/>
              </w:rPr>
              <w:t>（</w:t>
            </w:r>
            <w:r>
              <w:rPr>
                <w:rFonts w:hint="eastAsia" w:ascii="仿宋" w:hAnsi="仿宋" w:eastAsia="仿宋" w:cs="宋体"/>
                <w:color w:val="auto"/>
                <w:kern w:val="0"/>
                <w:sz w:val="24"/>
                <w:highlight w:val="none"/>
                <w:lang w:val="en-US" w:eastAsia="zh-CN"/>
              </w:rPr>
              <w:t>元</w:t>
            </w:r>
            <w:r>
              <w:rPr>
                <w:rFonts w:hint="eastAsia" w:ascii="仿宋" w:hAnsi="仿宋" w:eastAsia="仿宋" w:cs="宋体"/>
                <w:color w:val="auto"/>
                <w:kern w:val="0"/>
                <w:sz w:val="24"/>
                <w:highlight w:val="none"/>
                <w:lang w:eastAsia="zh-CN"/>
              </w:rPr>
              <w:t>）</w:t>
            </w:r>
          </w:p>
        </w:tc>
        <w:tc>
          <w:tcPr>
            <w:tcW w:w="4720" w:type="dxa"/>
            <w:gridSpan w:val="2"/>
            <w:tcBorders>
              <w:top w:val="single" w:color="auto" w:sz="4" w:space="0"/>
              <w:left w:val="nil"/>
              <w:bottom w:val="single" w:color="auto" w:sz="4" w:space="0"/>
              <w:right w:val="single" w:color="auto" w:sz="4" w:space="0"/>
            </w:tcBorders>
            <w:noWrap/>
            <w:vAlign w:val="center"/>
          </w:tcPr>
          <w:p w14:paraId="7AAF4F1F">
            <w:pPr>
              <w:widowControl/>
              <w:jc w:val="left"/>
              <w:outlineLvl w:val="9"/>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小写：</w:t>
            </w:r>
          </w:p>
        </w:tc>
      </w:tr>
      <w:tr w14:paraId="5A1FA69B">
        <w:tblPrEx>
          <w:tblCellMar>
            <w:top w:w="0" w:type="dxa"/>
            <w:left w:w="108" w:type="dxa"/>
            <w:bottom w:w="0" w:type="dxa"/>
            <w:right w:w="108" w:type="dxa"/>
          </w:tblCellMar>
        </w:tblPrEx>
        <w:trPr>
          <w:trHeight w:val="525" w:hRule="atLeast"/>
        </w:trPr>
        <w:tc>
          <w:tcPr>
            <w:tcW w:w="4087" w:type="dxa"/>
            <w:vMerge w:val="continue"/>
            <w:tcBorders>
              <w:top w:val="single" w:color="auto" w:sz="4" w:space="0"/>
              <w:left w:val="single" w:color="auto" w:sz="4" w:space="0"/>
              <w:bottom w:val="single" w:color="auto" w:sz="4" w:space="0"/>
              <w:right w:val="single" w:color="auto" w:sz="4" w:space="0"/>
            </w:tcBorders>
            <w:vAlign w:val="center"/>
          </w:tcPr>
          <w:p w14:paraId="1B34CE50">
            <w:pPr>
              <w:widowControl/>
              <w:jc w:val="left"/>
              <w:outlineLvl w:val="9"/>
              <w:rPr>
                <w:rFonts w:ascii="仿宋" w:hAnsi="仿宋" w:eastAsia="仿宋" w:cs="宋体"/>
                <w:color w:val="auto"/>
                <w:kern w:val="0"/>
                <w:sz w:val="24"/>
                <w:highlight w:val="none"/>
              </w:rPr>
            </w:pPr>
          </w:p>
        </w:tc>
        <w:tc>
          <w:tcPr>
            <w:tcW w:w="4720" w:type="dxa"/>
            <w:gridSpan w:val="2"/>
            <w:tcBorders>
              <w:top w:val="single" w:color="auto" w:sz="4" w:space="0"/>
              <w:left w:val="nil"/>
              <w:bottom w:val="single" w:color="auto" w:sz="4" w:space="0"/>
              <w:right w:val="single" w:color="auto" w:sz="4" w:space="0"/>
            </w:tcBorders>
            <w:noWrap/>
            <w:vAlign w:val="center"/>
          </w:tcPr>
          <w:p w14:paraId="2CD3EAD4">
            <w:pPr>
              <w:widowControl/>
              <w:jc w:val="left"/>
              <w:outlineLvl w:val="9"/>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大写：</w:t>
            </w:r>
          </w:p>
        </w:tc>
      </w:tr>
      <w:tr w14:paraId="46BA5224">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vAlign w:val="center"/>
          </w:tcPr>
          <w:p w14:paraId="1F789993">
            <w:pPr>
              <w:widowControl/>
              <w:ind w:firstLine="420" w:firstLineChars="200"/>
              <w:jc w:val="left"/>
              <w:outlineLvl w:val="9"/>
              <w:rPr>
                <w:rFonts w:ascii="仿宋" w:hAnsi="仿宋" w:eastAsia="仿宋" w:cs="宋体"/>
                <w:color w:val="auto"/>
                <w:kern w:val="0"/>
                <w:szCs w:val="21"/>
                <w:highlight w:val="none"/>
              </w:rPr>
            </w:pPr>
          </w:p>
        </w:tc>
      </w:tr>
    </w:tbl>
    <w:p w14:paraId="1D56D21C">
      <w:pPr>
        <w:ind w:firstLine="560" w:firstLineChars="200"/>
        <w:outlineLvl w:val="9"/>
        <w:rPr>
          <w:rFonts w:ascii="仿宋" w:hAnsi="仿宋" w:eastAsia="仿宋"/>
          <w:bCs/>
          <w:color w:val="auto"/>
          <w:sz w:val="28"/>
          <w:szCs w:val="28"/>
          <w:highlight w:val="none"/>
        </w:rPr>
      </w:pPr>
    </w:p>
    <w:p w14:paraId="64236C78">
      <w:pPr>
        <w:ind w:firstLine="560" w:firstLineChars="200"/>
        <w:outlineLvl w:val="9"/>
        <w:rPr>
          <w:rFonts w:ascii="仿宋" w:hAnsi="仿宋" w:eastAsia="仿宋"/>
          <w:bCs/>
          <w:color w:val="auto"/>
          <w:sz w:val="28"/>
          <w:szCs w:val="28"/>
          <w:highlight w:val="none"/>
        </w:rPr>
      </w:pPr>
      <w:r>
        <w:rPr>
          <w:rFonts w:ascii="仿宋" w:hAnsi="仿宋" w:eastAsia="仿宋"/>
          <w:bCs/>
          <w:color w:val="auto"/>
          <w:sz w:val="28"/>
          <w:szCs w:val="28"/>
          <w:highlight w:val="none"/>
        </w:rPr>
        <w:br w:type="page"/>
      </w:r>
      <w:r>
        <w:rPr>
          <w:rFonts w:hint="eastAsia" w:ascii="仿宋" w:hAnsi="仿宋" w:eastAsia="仿宋"/>
          <w:bCs/>
          <w:color w:val="auto"/>
          <w:sz w:val="28"/>
          <w:szCs w:val="28"/>
          <w:highlight w:val="none"/>
        </w:rPr>
        <w:t>（二）竞争性磋商响应报价明细表</w:t>
      </w:r>
    </w:p>
    <w:p w14:paraId="6CDA5BEA">
      <w:pPr>
        <w:ind w:firstLine="3040" w:firstLineChars="950"/>
        <w:outlineLvl w:val="9"/>
        <w:rPr>
          <w:rFonts w:ascii="宋体" w:hAnsi="宋体"/>
          <w:color w:val="auto"/>
          <w:sz w:val="24"/>
          <w:highlight w:val="none"/>
        </w:rPr>
      </w:pPr>
      <w:r>
        <w:rPr>
          <w:rFonts w:hint="eastAsia" w:ascii="微软雅黑" w:hAnsi="宋体" w:eastAsia="微软雅黑"/>
          <w:color w:val="auto"/>
          <w:sz w:val="32"/>
          <w:szCs w:val="32"/>
          <w:highlight w:val="none"/>
        </w:rPr>
        <w:t>竞争性磋商响应报价明细表</w:t>
      </w:r>
    </w:p>
    <w:p w14:paraId="378E1106">
      <w:pPr>
        <w:outlineLvl w:val="9"/>
        <w:rPr>
          <w:rFonts w:ascii="宋体" w:hAnsi="宋体"/>
          <w:color w:val="auto"/>
          <w:highlight w:val="none"/>
        </w:rPr>
      </w:pPr>
    </w:p>
    <w:p w14:paraId="7A897BE3">
      <w:pPr>
        <w:outlineLvl w:val="9"/>
        <w:rPr>
          <w:rFonts w:ascii="仿宋" w:hAnsi="仿宋" w:eastAsia="仿宋"/>
          <w:color w:val="auto"/>
          <w:sz w:val="24"/>
          <w:highlight w:val="none"/>
        </w:rPr>
      </w:pPr>
      <w:r>
        <w:rPr>
          <w:rFonts w:hint="eastAsia" w:ascii="仿宋" w:hAnsi="仿宋" w:eastAsia="仿宋"/>
          <w:color w:val="auto"/>
          <w:szCs w:val="24"/>
          <w:highlight w:val="none"/>
        </w:rPr>
        <w:t xml:space="preserve">项目名称： </w:t>
      </w:r>
      <w:r>
        <w:rPr>
          <w:rFonts w:hint="eastAsia" w:ascii="仿宋" w:hAnsi="仿宋" w:eastAsia="仿宋"/>
          <w:color w:val="auto"/>
          <w:szCs w:val="24"/>
          <w:highlight w:val="none"/>
          <w:lang w:val="en-US" w:eastAsia="zh-CN"/>
        </w:rPr>
        <w:t>东陈镇2026年生活垃圾转送服务</w:t>
      </w:r>
      <w:r>
        <w:rPr>
          <w:rFonts w:hint="eastAsia" w:ascii="仿宋" w:hAnsi="仿宋" w:eastAsia="仿宋"/>
          <w:color w:val="auto"/>
          <w:sz w:val="24"/>
          <w:highlight w:val="none"/>
        </w:rPr>
        <w:t xml:space="preserve">项目编号： </w:t>
      </w:r>
      <w:r>
        <w:rPr>
          <w:rFonts w:hint="eastAsia" w:ascii="仿宋" w:hAnsi="仿宋" w:eastAsia="仿宋"/>
          <w:color w:val="auto"/>
          <w:sz w:val="24"/>
          <w:highlight w:val="none"/>
          <w:lang w:eastAsia="zh-CN"/>
        </w:rPr>
        <w:t>JSZC-320682-NTZJ-C2026-0005</w:t>
      </w:r>
      <w:r>
        <w:rPr>
          <w:rFonts w:hint="eastAsia" w:ascii="仿宋" w:hAnsi="仿宋" w:eastAsia="仿宋"/>
          <w:color w:val="auto"/>
          <w:sz w:val="24"/>
          <w:highlight w:val="none"/>
        </w:rPr>
        <w:t xml:space="preserve">                                  分包号：                   </w:t>
      </w:r>
    </w:p>
    <w:tbl>
      <w:tblPr>
        <w:tblStyle w:val="16"/>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1426"/>
        <w:gridCol w:w="2891"/>
        <w:gridCol w:w="555"/>
        <w:gridCol w:w="555"/>
        <w:gridCol w:w="961"/>
        <w:gridCol w:w="1014"/>
        <w:gridCol w:w="1384"/>
      </w:tblGrid>
      <w:tr w14:paraId="07F3D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84" w:type="dxa"/>
            <w:noWrap w:val="0"/>
            <w:vAlign w:val="center"/>
          </w:tcPr>
          <w:p w14:paraId="2F275873">
            <w:pPr>
              <w:pStyle w:val="6"/>
              <w:snapToGrid w:val="0"/>
              <w:spacing w:after="0" w:line="240" w:lineRule="auto"/>
              <w:outlineLvl w:val="9"/>
              <w:rPr>
                <w:rFonts w:ascii="仿宋" w:hAnsi="仿宋" w:eastAsia="仿宋"/>
                <w:color w:val="auto"/>
                <w:sz w:val="24"/>
                <w:szCs w:val="24"/>
                <w:highlight w:val="none"/>
              </w:rPr>
            </w:pPr>
            <w:r>
              <w:rPr>
                <w:rFonts w:hint="eastAsia" w:ascii="仿宋" w:hAnsi="仿宋" w:eastAsia="仿宋"/>
                <w:color w:val="auto"/>
                <w:sz w:val="24"/>
                <w:szCs w:val="24"/>
                <w:highlight w:val="none"/>
              </w:rPr>
              <w:t>序号</w:t>
            </w:r>
          </w:p>
        </w:tc>
        <w:tc>
          <w:tcPr>
            <w:tcW w:w="1426" w:type="dxa"/>
            <w:noWrap w:val="0"/>
            <w:vAlign w:val="center"/>
          </w:tcPr>
          <w:p w14:paraId="261CFDDF">
            <w:pPr>
              <w:pStyle w:val="6"/>
              <w:snapToGrid w:val="0"/>
              <w:spacing w:after="0" w:line="240" w:lineRule="auto"/>
              <w:jc w:val="center"/>
              <w:outlineLvl w:val="9"/>
              <w:rPr>
                <w:rFonts w:ascii="仿宋" w:hAnsi="仿宋" w:eastAsia="仿宋"/>
                <w:color w:val="auto"/>
                <w:sz w:val="24"/>
                <w:szCs w:val="24"/>
                <w:highlight w:val="none"/>
              </w:rPr>
            </w:pPr>
            <w:r>
              <w:rPr>
                <w:rFonts w:hint="eastAsia" w:ascii="仿宋" w:hAnsi="仿宋" w:eastAsia="仿宋"/>
                <w:color w:val="auto"/>
                <w:sz w:val="24"/>
                <w:szCs w:val="24"/>
                <w:highlight w:val="none"/>
              </w:rPr>
              <w:t>服务名称</w:t>
            </w:r>
          </w:p>
        </w:tc>
        <w:tc>
          <w:tcPr>
            <w:tcW w:w="2891" w:type="dxa"/>
            <w:noWrap w:val="0"/>
            <w:vAlign w:val="center"/>
          </w:tcPr>
          <w:p w14:paraId="141FBC76">
            <w:pPr>
              <w:pStyle w:val="6"/>
              <w:snapToGrid w:val="0"/>
              <w:spacing w:after="0" w:line="240" w:lineRule="auto"/>
              <w:jc w:val="center"/>
              <w:outlineLvl w:val="9"/>
              <w:rPr>
                <w:rFonts w:ascii="仿宋" w:hAnsi="仿宋" w:eastAsia="仿宋"/>
                <w:color w:val="auto"/>
                <w:sz w:val="24"/>
                <w:szCs w:val="24"/>
                <w:highlight w:val="none"/>
              </w:rPr>
            </w:pPr>
            <w:r>
              <w:rPr>
                <w:rFonts w:hint="eastAsia" w:ascii="仿宋" w:hAnsi="仿宋" w:eastAsia="仿宋"/>
                <w:color w:val="auto"/>
                <w:sz w:val="24"/>
                <w:szCs w:val="24"/>
                <w:highlight w:val="none"/>
              </w:rPr>
              <w:t>服务内容</w:t>
            </w:r>
          </w:p>
        </w:tc>
        <w:tc>
          <w:tcPr>
            <w:tcW w:w="555" w:type="dxa"/>
            <w:noWrap w:val="0"/>
            <w:vAlign w:val="center"/>
          </w:tcPr>
          <w:p w14:paraId="4F956929">
            <w:pPr>
              <w:pStyle w:val="6"/>
              <w:snapToGrid w:val="0"/>
              <w:spacing w:after="0" w:line="240" w:lineRule="auto"/>
              <w:jc w:val="center"/>
              <w:outlineLvl w:val="9"/>
              <w:rPr>
                <w:rFonts w:ascii="仿宋" w:hAnsi="仿宋" w:eastAsia="仿宋"/>
                <w:color w:val="auto"/>
                <w:sz w:val="24"/>
                <w:szCs w:val="24"/>
                <w:highlight w:val="none"/>
              </w:rPr>
            </w:pPr>
            <w:r>
              <w:rPr>
                <w:rFonts w:hint="eastAsia" w:ascii="仿宋" w:hAnsi="仿宋" w:eastAsia="仿宋"/>
                <w:color w:val="auto"/>
                <w:sz w:val="24"/>
                <w:szCs w:val="24"/>
                <w:highlight w:val="none"/>
              </w:rPr>
              <w:t>计量单位</w:t>
            </w:r>
          </w:p>
        </w:tc>
        <w:tc>
          <w:tcPr>
            <w:tcW w:w="555" w:type="dxa"/>
            <w:noWrap w:val="0"/>
            <w:vAlign w:val="center"/>
          </w:tcPr>
          <w:p w14:paraId="25F7E80D">
            <w:pPr>
              <w:pStyle w:val="6"/>
              <w:snapToGrid w:val="0"/>
              <w:spacing w:after="0" w:line="240" w:lineRule="auto"/>
              <w:jc w:val="center"/>
              <w:outlineLvl w:val="9"/>
              <w:rPr>
                <w:rFonts w:ascii="仿宋" w:hAnsi="仿宋" w:eastAsia="仿宋"/>
                <w:color w:val="auto"/>
                <w:sz w:val="24"/>
                <w:szCs w:val="24"/>
                <w:highlight w:val="none"/>
              </w:rPr>
            </w:pPr>
            <w:r>
              <w:rPr>
                <w:rFonts w:hint="eastAsia" w:ascii="仿宋" w:hAnsi="仿宋" w:eastAsia="仿宋"/>
                <w:color w:val="auto"/>
                <w:sz w:val="24"/>
                <w:szCs w:val="24"/>
                <w:highlight w:val="none"/>
              </w:rPr>
              <w:t>工作量</w:t>
            </w:r>
          </w:p>
        </w:tc>
        <w:tc>
          <w:tcPr>
            <w:tcW w:w="961" w:type="dxa"/>
            <w:noWrap w:val="0"/>
            <w:vAlign w:val="center"/>
          </w:tcPr>
          <w:p w14:paraId="064FF50D">
            <w:pPr>
              <w:pStyle w:val="6"/>
              <w:snapToGrid w:val="0"/>
              <w:spacing w:after="0" w:line="240" w:lineRule="auto"/>
              <w:jc w:val="center"/>
              <w:outlineLvl w:val="9"/>
              <w:rPr>
                <w:rFonts w:ascii="仿宋" w:hAnsi="仿宋" w:eastAsia="仿宋"/>
                <w:color w:val="auto"/>
                <w:sz w:val="24"/>
                <w:szCs w:val="24"/>
                <w:highlight w:val="none"/>
              </w:rPr>
            </w:pPr>
            <w:r>
              <w:rPr>
                <w:rFonts w:hint="eastAsia" w:ascii="仿宋" w:hAnsi="仿宋" w:eastAsia="仿宋"/>
                <w:color w:val="auto"/>
                <w:sz w:val="24"/>
                <w:szCs w:val="24"/>
                <w:highlight w:val="none"/>
              </w:rPr>
              <w:t>单 价</w:t>
            </w:r>
          </w:p>
          <w:p w14:paraId="638F6E98">
            <w:pPr>
              <w:pStyle w:val="6"/>
              <w:snapToGrid w:val="0"/>
              <w:spacing w:after="0" w:line="240" w:lineRule="auto"/>
              <w:jc w:val="center"/>
              <w:outlineLvl w:val="9"/>
              <w:rPr>
                <w:rFonts w:ascii="仿宋" w:hAnsi="仿宋" w:eastAsia="仿宋"/>
                <w:color w:val="auto"/>
                <w:sz w:val="24"/>
                <w:szCs w:val="24"/>
                <w:highlight w:val="none"/>
              </w:rPr>
            </w:pPr>
            <w:r>
              <w:rPr>
                <w:rFonts w:hint="eastAsia" w:ascii="仿宋" w:hAnsi="仿宋" w:eastAsia="仿宋"/>
                <w:color w:val="auto"/>
                <w:sz w:val="24"/>
                <w:szCs w:val="24"/>
                <w:highlight w:val="none"/>
              </w:rPr>
              <w:t>（元）</w:t>
            </w:r>
          </w:p>
        </w:tc>
        <w:tc>
          <w:tcPr>
            <w:tcW w:w="1014" w:type="dxa"/>
            <w:noWrap w:val="0"/>
            <w:vAlign w:val="center"/>
          </w:tcPr>
          <w:p w14:paraId="37FC7A3B">
            <w:pPr>
              <w:pStyle w:val="6"/>
              <w:snapToGrid w:val="0"/>
              <w:spacing w:after="0" w:line="240" w:lineRule="auto"/>
              <w:jc w:val="center"/>
              <w:outlineLvl w:val="9"/>
              <w:rPr>
                <w:rFonts w:ascii="仿宋" w:hAnsi="仿宋" w:eastAsia="仿宋"/>
                <w:color w:val="auto"/>
                <w:sz w:val="24"/>
                <w:szCs w:val="24"/>
                <w:highlight w:val="none"/>
              </w:rPr>
            </w:pPr>
            <w:r>
              <w:rPr>
                <w:rFonts w:hint="eastAsia" w:ascii="仿宋" w:hAnsi="仿宋" w:eastAsia="仿宋"/>
                <w:color w:val="auto"/>
                <w:sz w:val="24"/>
                <w:szCs w:val="24"/>
                <w:highlight w:val="none"/>
              </w:rPr>
              <w:t>总 价</w:t>
            </w:r>
          </w:p>
          <w:p w14:paraId="352A74A3">
            <w:pPr>
              <w:pStyle w:val="6"/>
              <w:snapToGrid w:val="0"/>
              <w:spacing w:after="0" w:line="240" w:lineRule="auto"/>
              <w:jc w:val="center"/>
              <w:outlineLvl w:val="9"/>
              <w:rPr>
                <w:rFonts w:ascii="仿宋" w:hAnsi="仿宋" w:eastAsia="仿宋"/>
                <w:color w:val="auto"/>
                <w:sz w:val="24"/>
                <w:szCs w:val="24"/>
                <w:highlight w:val="none"/>
              </w:rPr>
            </w:pPr>
            <w:r>
              <w:rPr>
                <w:rFonts w:hint="eastAsia" w:ascii="仿宋" w:hAnsi="仿宋" w:eastAsia="仿宋"/>
                <w:color w:val="auto"/>
                <w:sz w:val="24"/>
                <w:szCs w:val="24"/>
                <w:highlight w:val="none"/>
              </w:rPr>
              <w:t>（元）</w:t>
            </w:r>
          </w:p>
        </w:tc>
        <w:tc>
          <w:tcPr>
            <w:tcW w:w="1384" w:type="dxa"/>
            <w:noWrap w:val="0"/>
            <w:vAlign w:val="center"/>
          </w:tcPr>
          <w:p w14:paraId="483B06E3">
            <w:pPr>
              <w:pStyle w:val="6"/>
              <w:snapToGrid w:val="0"/>
              <w:spacing w:after="0" w:line="240" w:lineRule="auto"/>
              <w:jc w:val="center"/>
              <w:outlineLvl w:val="9"/>
              <w:rPr>
                <w:rFonts w:ascii="仿宋" w:hAnsi="仿宋" w:eastAsia="仿宋"/>
                <w:color w:val="auto"/>
                <w:sz w:val="24"/>
                <w:szCs w:val="24"/>
                <w:highlight w:val="none"/>
              </w:rPr>
            </w:pPr>
            <w:r>
              <w:rPr>
                <w:rFonts w:hint="eastAsia" w:ascii="仿宋" w:hAnsi="仿宋" w:eastAsia="仿宋"/>
                <w:color w:val="auto"/>
                <w:sz w:val="24"/>
                <w:szCs w:val="24"/>
                <w:highlight w:val="none"/>
              </w:rPr>
              <w:t>备注</w:t>
            </w:r>
          </w:p>
        </w:tc>
      </w:tr>
      <w:tr w14:paraId="32C7A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84" w:type="dxa"/>
            <w:noWrap w:val="0"/>
            <w:vAlign w:val="top"/>
          </w:tcPr>
          <w:p w14:paraId="01C7619A">
            <w:pPr>
              <w:pStyle w:val="6"/>
              <w:snapToGrid w:val="0"/>
              <w:spacing w:after="0" w:line="240" w:lineRule="auto"/>
              <w:outlineLvl w:val="9"/>
              <w:rPr>
                <w:rFonts w:ascii="仿宋" w:hAnsi="仿宋" w:eastAsia="仿宋"/>
                <w:color w:val="auto"/>
                <w:sz w:val="24"/>
                <w:szCs w:val="24"/>
                <w:highlight w:val="none"/>
              </w:rPr>
            </w:pPr>
          </w:p>
        </w:tc>
        <w:tc>
          <w:tcPr>
            <w:tcW w:w="1426" w:type="dxa"/>
            <w:noWrap w:val="0"/>
            <w:vAlign w:val="top"/>
          </w:tcPr>
          <w:p w14:paraId="50E3D3A2">
            <w:pPr>
              <w:pStyle w:val="6"/>
              <w:snapToGrid w:val="0"/>
              <w:spacing w:after="0" w:line="240" w:lineRule="auto"/>
              <w:outlineLvl w:val="9"/>
              <w:rPr>
                <w:rFonts w:ascii="仿宋" w:hAnsi="仿宋" w:eastAsia="仿宋"/>
                <w:color w:val="auto"/>
                <w:sz w:val="24"/>
                <w:szCs w:val="24"/>
                <w:highlight w:val="none"/>
              </w:rPr>
            </w:pPr>
          </w:p>
        </w:tc>
        <w:tc>
          <w:tcPr>
            <w:tcW w:w="2891" w:type="dxa"/>
            <w:noWrap w:val="0"/>
            <w:vAlign w:val="top"/>
          </w:tcPr>
          <w:p w14:paraId="7F8A845C">
            <w:pPr>
              <w:pStyle w:val="6"/>
              <w:snapToGrid w:val="0"/>
              <w:spacing w:after="0" w:line="240" w:lineRule="auto"/>
              <w:outlineLvl w:val="9"/>
              <w:rPr>
                <w:rFonts w:ascii="仿宋" w:hAnsi="仿宋" w:eastAsia="仿宋"/>
                <w:color w:val="auto"/>
                <w:sz w:val="24"/>
                <w:szCs w:val="24"/>
                <w:highlight w:val="none"/>
              </w:rPr>
            </w:pPr>
            <w:r>
              <w:rPr>
                <w:rFonts w:hint="eastAsia" w:ascii="仿宋" w:hAnsi="仿宋" w:eastAsia="仿宋"/>
                <w:color w:val="auto"/>
                <w:sz w:val="24"/>
                <w:szCs w:val="24"/>
                <w:highlight w:val="none"/>
              </w:rPr>
              <w:t>（视明细项目加行）</w:t>
            </w:r>
          </w:p>
        </w:tc>
        <w:tc>
          <w:tcPr>
            <w:tcW w:w="555" w:type="dxa"/>
            <w:noWrap w:val="0"/>
            <w:vAlign w:val="top"/>
          </w:tcPr>
          <w:p w14:paraId="37CF960B">
            <w:pPr>
              <w:pStyle w:val="6"/>
              <w:snapToGrid w:val="0"/>
              <w:spacing w:after="0" w:line="240" w:lineRule="auto"/>
              <w:outlineLvl w:val="9"/>
              <w:rPr>
                <w:rFonts w:ascii="仿宋" w:hAnsi="仿宋" w:eastAsia="仿宋"/>
                <w:color w:val="auto"/>
                <w:sz w:val="24"/>
                <w:szCs w:val="24"/>
                <w:highlight w:val="none"/>
              </w:rPr>
            </w:pPr>
          </w:p>
        </w:tc>
        <w:tc>
          <w:tcPr>
            <w:tcW w:w="555" w:type="dxa"/>
            <w:noWrap w:val="0"/>
            <w:vAlign w:val="top"/>
          </w:tcPr>
          <w:p w14:paraId="3748927E">
            <w:pPr>
              <w:pStyle w:val="6"/>
              <w:snapToGrid w:val="0"/>
              <w:spacing w:after="0" w:line="240" w:lineRule="auto"/>
              <w:jc w:val="center"/>
              <w:outlineLvl w:val="9"/>
              <w:rPr>
                <w:rFonts w:ascii="仿宋" w:hAnsi="仿宋" w:eastAsia="仿宋"/>
                <w:color w:val="auto"/>
                <w:sz w:val="24"/>
                <w:szCs w:val="24"/>
                <w:highlight w:val="none"/>
              </w:rPr>
            </w:pPr>
          </w:p>
        </w:tc>
        <w:tc>
          <w:tcPr>
            <w:tcW w:w="961" w:type="dxa"/>
            <w:noWrap w:val="0"/>
            <w:vAlign w:val="top"/>
          </w:tcPr>
          <w:p w14:paraId="1FB3ABD8">
            <w:pPr>
              <w:pStyle w:val="6"/>
              <w:snapToGrid w:val="0"/>
              <w:spacing w:after="0" w:line="240" w:lineRule="auto"/>
              <w:outlineLvl w:val="9"/>
              <w:rPr>
                <w:rFonts w:ascii="仿宋" w:hAnsi="仿宋" w:eastAsia="仿宋"/>
                <w:color w:val="auto"/>
                <w:sz w:val="24"/>
                <w:szCs w:val="24"/>
                <w:highlight w:val="none"/>
              </w:rPr>
            </w:pPr>
          </w:p>
        </w:tc>
        <w:tc>
          <w:tcPr>
            <w:tcW w:w="1014" w:type="dxa"/>
            <w:noWrap w:val="0"/>
            <w:vAlign w:val="top"/>
          </w:tcPr>
          <w:p w14:paraId="499FA9A2">
            <w:pPr>
              <w:pStyle w:val="6"/>
              <w:snapToGrid w:val="0"/>
              <w:spacing w:after="0" w:line="240" w:lineRule="auto"/>
              <w:outlineLvl w:val="9"/>
              <w:rPr>
                <w:rFonts w:ascii="仿宋" w:hAnsi="仿宋" w:eastAsia="仿宋"/>
                <w:color w:val="auto"/>
                <w:sz w:val="24"/>
                <w:szCs w:val="24"/>
                <w:highlight w:val="none"/>
              </w:rPr>
            </w:pPr>
          </w:p>
        </w:tc>
        <w:tc>
          <w:tcPr>
            <w:tcW w:w="1384" w:type="dxa"/>
            <w:noWrap w:val="0"/>
            <w:vAlign w:val="top"/>
          </w:tcPr>
          <w:p w14:paraId="26A4946A">
            <w:pPr>
              <w:pStyle w:val="6"/>
              <w:snapToGrid w:val="0"/>
              <w:spacing w:after="0" w:line="240" w:lineRule="auto"/>
              <w:outlineLvl w:val="9"/>
              <w:rPr>
                <w:rFonts w:ascii="仿宋" w:hAnsi="仿宋" w:eastAsia="仿宋"/>
                <w:color w:val="auto"/>
                <w:sz w:val="24"/>
                <w:szCs w:val="24"/>
                <w:highlight w:val="none"/>
              </w:rPr>
            </w:pPr>
          </w:p>
        </w:tc>
      </w:tr>
      <w:tr w14:paraId="40020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84" w:type="dxa"/>
            <w:noWrap w:val="0"/>
            <w:vAlign w:val="top"/>
          </w:tcPr>
          <w:p w14:paraId="79996314">
            <w:pPr>
              <w:pStyle w:val="6"/>
              <w:snapToGrid w:val="0"/>
              <w:spacing w:after="0" w:line="240" w:lineRule="auto"/>
              <w:outlineLvl w:val="9"/>
              <w:rPr>
                <w:rFonts w:ascii="仿宋" w:hAnsi="仿宋" w:eastAsia="仿宋"/>
                <w:color w:val="auto"/>
                <w:sz w:val="24"/>
                <w:szCs w:val="24"/>
                <w:highlight w:val="none"/>
              </w:rPr>
            </w:pPr>
          </w:p>
        </w:tc>
        <w:tc>
          <w:tcPr>
            <w:tcW w:w="1426" w:type="dxa"/>
            <w:noWrap w:val="0"/>
            <w:vAlign w:val="top"/>
          </w:tcPr>
          <w:p w14:paraId="221656AF">
            <w:pPr>
              <w:pStyle w:val="6"/>
              <w:snapToGrid w:val="0"/>
              <w:spacing w:after="0" w:line="240" w:lineRule="auto"/>
              <w:outlineLvl w:val="9"/>
              <w:rPr>
                <w:rFonts w:ascii="仿宋" w:hAnsi="仿宋" w:eastAsia="仿宋"/>
                <w:color w:val="auto"/>
                <w:sz w:val="24"/>
                <w:szCs w:val="24"/>
                <w:highlight w:val="none"/>
              </w:rPr>
            </w:pPr>
          </w:p>
        </w:tc>
        <w:tc>
          <w:tcPr>
            <w:tcW w:w="2891" w:type="dxa"/>
            <w:noWrap w:val="0"/>
            <w:vAlign w:val="top"/>
          </w:tcPr>
          <w:p w14:paraId="735C966C">
            <w:pPr>
              <w:pStyle w:val="6"/>
              <w:snapToGrid w:val="0"/>
              <w:spacing w:after="0" w:line="240" w:lineRule="auto"/>
              <w:outlineLvl w:val="9"/>
              <w:rPr>
                <w:rFonts w:ascii="仿宋" w:hAnsi="仿宋" w:eastAsia="仿宋"/>
                <w:color w:val="auto"/>
                <w:sz w:val="24"/>
                <w:szCs w:val="24"/>
                <w:highlight w:val="none"/>
              </w:rPr>
            </w:pPr>
          </w:p>
        </w:tc>
        <w:tc>
          <w:tcPr>
            <w:tcW w:w="555" w:type="dxa"/>
            <w:noWrap w:val="0"/>
            <w:vAlign w:val="top"/>
          </w:tcPr>
          <w:p w14:paraId="34C223D3">
            <w:pPr>
              <w:pStyle w:val="6"/>
              <w:snapToGrid w:val="0"/>
              <w:spacing w:after="0" w:line="240" w:lineRule="auto"/>
              <w:outlineLvl w:val="9"/>
              <w:rPr>
                <w:rFonts w:ascii="仿宋" w:hAnsi="仿宋" w:eastAsia="仿宋"/>
                <w:color w:val="auto"/>
                <w:sz w:val="24"/>
                <w:szCs w:val="24"/>
                <w:highlight w:val="none"/>
              </w:rPr>
            </w:pPr>
          </w:p>
        </w:tc>
        <w:tc>
          <w:tcPr>
            <w:tcW w:w="555" w:type="dxa"/>
            <w:noWrap w:val="0"/>
            <w:vAlign w:val="top"/>
          </w:tcPr>
          <w:p w14:paraId="1C095AAC">
            <w:pPr>
              <w:pStyle w:val="6"/>
              <w:snapToGrid w:val="0"/>
              <w:spacing w:after="0" w:line="240" w:lineRule="auto"/>
              <w:outlineLvl w:val="9"/>
              <w:rPr>
                <w:rFonts w:ascii="仿宋" w:hAnsi="仿宋" w:eastAsia="仿宋"/>
                <w:color w:val="auto"/>
                <w:sz w:val="24"/>
                <w:szCs w:val="24"/>
                <w:highlight w:val="none"/>
              </w:rPr>
            </w:pPr>
          </w:p>
        </w:tc>
        <w:tc>
          <w:tcPr>
            <w:tcW w:w="961" w:type="dxa"/>
            <w:noWrap w:val="0"/>
            <w:vAlign w:val="top"/>
          </w:tcPr>
          <w:p w14:paraId="6CC11AED">
            <w:pPr>
              <w:pStyle w:val="6"/>
              <w:snapToGrid w:val="0"/>
              <w:spacing w:after="0" w:line="240" w:lineRule="auto"/>
              <w:outlineLvl w:val="9"/>
              <w:rPr>
                <w:rFonts w:ascii="仿宋" w:hAnsi="仿宋" w:eastAsia="仿宋"/>
                <w:color w:val="auto"/>
                <w:sz w:val="24"/>
                <w:szCs w:val="24"/>
                <w:highlight w:val="none"/>
              </w:rPr>
            </w:pPr>
          </w:p>
        </w:tc>
        <w:tc>
          <w:tcPr>
            <w:tcW w:w="1014" w:type="dxa"/>
            <w:noWrap w:val="0"/>
            <w:vAlign w:val="top"/>
          </w:tcPr>
          <w:p w14:paraId="26902705">
            <w:pPr>
              <w:pStyle w:val="6"/>
              <w:snapToGrid w:val="0"/>
              <w:spacing w:after="0" w:line="240" w:lineRule="auto"/>
              <w:outlineLvl w:val="9"/>
              <w:rPr>
                <w:rFonts w:ascii="仿宋" w:hAnsi="仿宋" w:eastAsia="仿宋"/>
                <w:color w:val="auto"/>
                <w:sz w:val="24"/>
                <w:szCs w:val="24"/>
                <w:highlight w:val="none"/>
              </w:rPr>
            </w:pPr>
          </w:p>
        </w:tc>
        <w:tc>
          <w:tcPr>
            <w:tcW w:w="1384" w:type="dxa"/>
            <w:noWrap w:val="0"/>
            <w:vAlign w:val="top"/>
          </w:tcPr>
          <w:p w14:paraId="69FA4BD9">
            <w:pPr>
              <w:pStyle w:val="6"/>
              <w:snapToGrid w:val="0"/>
              <w:spacing w:after="0" w:line="240" w:lineRule="auto"/>
              <w:outlineLvl w:val="9"/>
              <w:rPr>
                <w:rFonts w:ascii="仿宋" w:hAnsi="仿宋" w:eastAsia="仿宋"/>
                <w:color w:val="auto"/>
                <w:sz w:val="24"/>
                <w:szCs w:val="24"/>
                <w:highlight w:val="none"/>
              </w:rPr>
            </w:pPr>
          </w:p>
        </w:tc>
      </w:tr>
      <w:tr w14:paraId="30AB8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84" w:type="dxa"/>
            <w:noWrap w:val="0"/>
            <w:vAlign w:val="top"/>
          </w:tcPr>
          <w:p w14:paraId="5593ECC2">
            <w:pPr>
              <w:pStyle w:val="6"/>
              <w:snapToGrid w:val="0"/>
              <w:spacing w:after="0" w:line="240" w:lineRule="auto"/>
              <w:outlineLvl w:val="9"/>
              <w:rPr>
                <w:rFonts w:ascii="仿宋" w:hAnsi="仿宋" w:eastAsia="仿宋"/>
                <w:color w:val="auto"/>
                <w:sz w:val="24"/>
                <w:szCs w:val="24"/>
                <w:highlight w:val="none"/>
              </w:rPr>
            </w:pPr>
          </w:p>
        </w:tc>
        <w:tc>
          <w:tcPr>
            <w:tcW w:w="1426" w:type="dxa"/>
            <w:noWrap w:val="0"/>
            <w:vAlign w:val="top"/>
          </w:tcPr>
          <w:p w14:paraId="04438D72">
            <w:pPr>
              <w:pStyle w:val="6"/>
              <w:snapToGrid w:val="0"/>
              <w:spacing w:after="0" w:line="240" w:lineRule="auto"/>
              <w:outlineLvl w:val="9"/>
              <w:rPr>
                <w:rFonts w:ascii="仿宋" w:hAnsi="仿宋" w:eastAsia="仿宋"/>
                <w:color w:val="auto"/>
                <w:sz w:val="24"/>
                <w:szCs w:val="24"/>
                <w:highlight w:val="none"/>
              </w:rPr>
            </w:pPr>
          </w:p>
        </w:tc>
        <w:tc>
          <w:tcPr>
            <w:tcW w:w="2891" w:type="dxa"/>
            <w:noWrap w:val="0"/>
            <w:vAlign w:val="top"/>
          </w:tcPr>
          <w:p w14:paraId="6965F4C7">
            <w:pPr>
              <w:pStyle w:val="6"/>
              <w:snapToGrid w:val="0"/>
              <w:spacing w:after="0" w:line="240" w:lineRule="auto"/>
              <w:outlineLvl w:val="9"/>
              <w:rPr>
                <w:rFonts w:ascii="仿宋" w:hAnsi="仿宋" w:eastAsia="仿宋"/>
                <w:color w:val="auto"/>
                <w:sz w:val="24"/>
                <w:szCs w:val="24"/>
                <w:highlight w:val="none"/>
              </w:rPr>
            </w:pPr>
          </w:p>
        </w:tc>
        <w:tc>
          <w:tcPr>
            <w:tcW w:w="555" w:type="dxa"/>
            <w:noWrap w:val="0"/>
            <w:vAlign w:val="top"/>
          </w:tcPr>
          <w:p w14:paraId="64CBCC27">
            <w:pPr>
              <w:pStyle w:val="6"/>
              <w:snapToGrid w:val="0"/>
              <w:spacing w:after="0" w:line="240" w:lineRule="auto"/>
              <w:outlineLvl w:val="9"/>
              <w:rPr>
                <w:rFonts w:ascii="仿宋" w:hAnsi="仿宋" w:eastAsia="仿宋"/>
                <w:color w:val="auto"/>
                <w:sz w:val="24"/>
                <w:szCs w:val="24"/>
                <w:highlight w:val="none"/>
              </w:rPr>
            </w:pPr>
          </w:p>
        </w:tc>
        <w:tc>
          <w:tcPr>
            <w:tcW w:w="555" w:type="dxa"/>
            <w:noWrap w:val="0"/>
            <w:vAlign w:val="top"/>
          </w:tcPr>
          <w:p w14:paraId="553BF21F">
            <w:pPr>
              <w:pStyle w:val="6"/>
              <w:snapToGrid w:val="0"/>
              <w:spacing w:after="0" w:line="240" w:lineRule="auto"/>
              <w:outlineLvl w:val="9"/>
              <w:rPr>
                <w:rFonts w:ascii="仿宋" w:hAnsi="仿宋" w:eastAsia="仿宋"/>
                <w:color w:val="auto"/>
                <w:sz w:val="24"/>
                <w:szCs w:val="24"/>
                <w:highlight w:val="none"/>
              </w:rPr>
            </w:pPr>
          </w:p>
        </w:tc>
        <w:tc>
          <w:tcPr>
            <w:tcW w:w="961" w:type="dxa"/>
            <w:noWrap w:val="0"/>
            <w:vAlign w:val="top"/>
          </w:tcPr>
          <w:p w14:paraId="635FBF72">
            <w:pPr>
              <w:pStyle w:val="6"/>
              <w:snapToGrid w:val="0"/>
              <w:spacing w:after="0" w:line="240" w:lineRule="auto"/>
              <w:outlineLvl w:val="9"/>
              <w:rPr>
                <w:rFonts w:ascii="仿宋" w:hAnsi="仿宋" w:eastAsia="仿宋"/>
                <w:color w:val="auto"/>
                <w:sz w:val="24"/>
                <w:szCs w:val="24"/>
                <w:highlight w:val="none"/>
              </w:rPr>
            </w:pPr>
          </w:p>
        </w:tc>
        <w:tc>
          <w:tcPr>
            <w:tcW w:w="1014" w:type="dxa"/>
            <w:noWrap w:val="0"/>
            <w:vAlign w:val="top"/>
          </w:tcPr>
          <w:p w14:paraId="5C2AB21D">
            <w:pPr>
              <w:pStyle w:val="6"/>
              <w:snapToGrid w:val="0"/>
              <w:spacing w:after="0" w:line="240" w:lineRule="auto"/>
              <w:outlineLvl w:val="9"/>
              <w:rPr>
                <w:rFonts w:ascii="仿宋" w:hAnsi="仿宋" w:eastAsia="仿宋"/>
                <w:color w:val="auto"/>
                <w:sz w:val="24"/>
                <w:szCs w:val="24"/>
                <w:highlight w:val="none"/>
              </w:rPr>
            </w:pPr>
          </w:p>
        </w:tc>
        <w:tc>
          <w:tcPr>
            <w:tcW w:w="1384" w:type="dxa"/>
            <w:noWrap w:val="0"/>
            <w:vAlign w:val="top"/>
          </w:tcPr>
          <w:p w14:paraId="2D81028C">
            <w:pPr>
              <w:pStyle w:val="6"/>
              <w:snapToGrid w:val="0"/>
              <w:spacing w:after="0" w:line="240" w:lineRule="auto"/>
              <w:outlineLvl w:val="9"/>
              <w:rPr>
                <w:rFonts w:ascii="仿宋" w:hAnsi="仿宋" w:eastAsia="仿宋"/>
                <w:color w:val="auto"/>
                <w:sz w:val="24"/>
                <w:szCs w:val="24"/>
                <w:highlight w:val="none"/>
              </w:rPr>
            </w:pPr>
          </w:p>
        </w:tc>
      </w:tr>
      <w:tr w14:paraId="6E73A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84" w:type="dxa"/>
            <w:noWrap w:val="0"/>
            <w:vAlign w:val="top"/>
          </w:tcPr>
          <w:p w14:paraId="43B2991F">
            <w:pPr>
              <w:pStyle w:val="6"/>
              <w:snapToGrid w:val="0"/>
              <w:spacing w:after="0" w:line="240" w:lineRule="auto"/>
              <w:outlineLvl w:val="9"/>
              <w:rPr>
                <w:rFonts w:ascii="仿宋" w:hAnsi="仿宋" w:eastAsia="仿宋"/>
                <w:color w:val="auto"/>
                <w:sz w:val="24"/>
                <w:szCs w:val="24"/>
                <w:highlight w:val="none"/>
              </w:rPr>
            </w:pPr>
          </w:p>
        </w:tc>
        <w:tc>
          <w:tcPr>
            <w:tcW w:w="1426" w:type="dxa"/>
            <w:noWrap w:val="0"/>
            <w:vAlign w:val="top"/>
          </w:tcPr>
          <w:p w14:paraId="25CA309A">
            <w:pPr>
              <w:pStyle w:val="6"/>
              <w:snapToGrid w:val="0"/>
              <w:spacing w:after="0" w:line="240" w:lineRule="auto"/>
              <w:outlineLvl w:val="9"/>
              <w:rPr>
                <w:rFonts w:ascii="仿宋" w:hAnsi="仿宋" w:eastAsia="仿宋"/>
                <w:color w:val="auto"/>
                <w:sz w:val="24"/>
                <w:szCs w:val="24"/>
                <w:highlight w:val="none"/>
              </w:rPr>
            </w:pPr>
          </w:p>
        </w:tc>
        <w:tc>
          <w:tcPr>
            <w:tcW w:w="2891" w:type="dxa"/>
            <w:noWrap w:val="0"/>
            <w:vAlign w:val="top"/>
          </w:tcPr>
          <w:p w14:paraId="749883B9">
            <w:pPr>
              <w:pStyle w:val="6"/>
              <w:snapToGrid w:val="0"/>
              <w:spacing w:after="0" w:line="240" w:lineRule="auto"/>
              <w:outlineLvl w:val="9"/>
              <w:rPr>
                <w:rFonts w:ascii="仿宋" w:hAnsi="仿宋" w:eastAsia="仿宋"/>
                <w:color w:val="auto"/>
                <w:sz w:val="24"/>
                <w:szCs w:val="24"/>
                <w:highlight w:val="none"/>
              </w:rPr>
            </w:pPr>
          </w:p>
        </w:tc>
        <w:tc>
          <w:tcPr>
            <w:tcW w:w="555" w:type="dxa"/>
            <w:noWrap w:val="0"/>
            <w:vAlign w:val="top"/>
          </w:tcPr>
          <w:p w14:paraId="1855E551">
            <w:pPr>
              <w:pStyle w:val="6"/>
              <w:snapToGrid w:val="0"/>
              <w:spacing w:after="0" w:line="240" w:lineRule="auto"/>
              <w:outlineLvl w:val="9"/>
              <w:rPr>
                <w:rFonts w:ascii="仿宋" w:hAnsi="仿宋" w:eastAsia="仿宋"/>
                <w:color w:val="auto"/>
                <w:sz w:val="24"/>
                <w:szCs w:val="24"/>
                <w:highlight w:val="none"/>
              </w:rPr>
            </w:pPr>
          </w:p>
        </w:tc>
        <w:tc>
          <w:tcPr>
            <w:tcW w:w="555" w:type="dxa"/>
            <w:noWrap w:val="0"/>
            <w:vAlign w:val="top"/>
          </w:tcPr>
          <w:p w14:paraId="5371ED37">
            <w:pPr>
              <w:pStyle w:val="6"/>
              <w:snapToGrid w:val="0"/>
              <w:spacing w:after="0" w:line="240" w:lineRule="auto"/>
              <w:outlineLvl w:val="9"/>
              <w:rPr>
                <w:rFonts w:ascii="仿宋" w:hAnsi="仿宋" w:eastAsia="仿宋"/>
                <w:color w:val="auto"/>
                <w:sz w:val="24"/>
                <w:szCs w:val="24"/>
                <w:highlight w:val="none"/>
              </w:rPr>
            </w:pPr>
          </w:p>
        </w:tc>
        <w:tc>
          <w:tcPr>
            <w:tcW w:w="961" w:type="dxa"/>
            <w:noWrap w:val="0"/>
            <w:vAlign w:val="top"/>
          </w:tcPr>
          <w:p w14:paraId="1908C5DF">
            <w:pPr>
              <w:pStyle w:val="6"/>
              <w:snapToGrid w:val="0"/>
              <w:spacing w:after="0" w:line="240" w:lineRule="auto"/>
              <w:outlineLvl w:val="9"/>
              <w:rPr>
                <w:rFonts w:ascii="仿宋" w:hAnsi="仿宋" w:eastAsia="仿宋"/>
                <w:color w:val="auto"/>
                <w:sz w:val="24"/>
                <w:szCs w:val="24"/>
                <w:highlight w:val="none"/>
              </w:rPr>
            </w:pPr>
          </w:p>
        </w:tc>
        <w:tc>
          <w:tcPr>
            <w:tcW w:w="1014" w:type="dxa"/>
            <w:noWrap w:val="0"/>
            <w:vAlign w:val="top"/>
          </w:tcPr>
          <w:p w14:paraId="1981A900">
            <w:pPr>
              <w:pStyle w:val="6"/>
              <w:snapToGrid w:val="0"/>
              <w:spacing w:after="0" w:line="240" w:lineRule="auto"/>
              <w:outlineLvl w:val="9"/>
              <w:rPr>
                <w:rFonts w:ascii="仿宋" w:hAnsi="仿宋" w:eastAsia="仿宋"/>
                <w:color w:val="auto"/>
                <w:sz w:val="24"/>
                <w:szCs w:val="24"/>
                <w:highlight w:val="none"/>
              </w:rPr>
            </w:pPr>
          </w:p>
        </w:tc>
        <w:tc>
          <w:tcPr>
            <w:tcW w:w="1384" w:type="dxa"/>
            <w:noWrap w:val="0"/>
            <w:vAlign w:val="top"/>
          </w:tcPr>
          <w:p w14:paraId="0C085CAA">
            <w:pPr>
              <w:pStyle w:val="6"/>
              <w:snapToGrid w:val="0"/>
              <w:spacing w:after="0" w:line="240" w:lineRule="auto"/>
              <w:outlineLvl w:val="9"/>
              <w:rPr>
                <w:rFonts w:ascii="仿宋" w:hAnsi="仿宋" w:eastAsia="仿宋"/>
                <w:color w:val="auto"/>
                <w:sz w:val="24"/>
                <w:szCs w:val="24"/>
                <w:highlight w:val="none"/>
              </w:rPr>
            </w:pPr>
          </w:p>
        </w:tc>
      </w:tr>
      <w:tr w14:paraId="7A55A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84" w:type="dxa"/>
            <w:noWrap w:val="0"/>
            <w:vAlign w:val="top"/>
          </w:tcPr>
          <w:p w14:paraId="184E7EC2">
            <w:pPr>
              <w:pStyle w:val="6"/>
              <w:snapToGrid w:val="0"/>
              <w:spacing w:after="0" w:line="240" w:lineRule="auto"/>
              <w:outlineLvl w:val="9"/>
              <w:rPr>
                <w:rFonts w:ascii="仿宋" w:hAnsi="仿宋" w:eastAsia="仿宋"/>
                <w:color w:val="auto"/>
                <w:sz w:val="24"/>
                <w:szCs w:val="24"/>
                <w:highlight w:val="none"/>
              </w:rPr>
            </w:pPr>
          </w:p>
        </w:tc>
        <w:tc>
          <w:tcPr>
            <w:tcW w:w="1426" w:type="dxa"/>
            <w:noWrap w:val="0"/>
            <w:vAlign w:val="top"/>
          </w:tcPr>
          <w:p w14:paraId="465B52B8">
            <w:pPr>
              <w:pStyle w:val="6"/>
              <w:snapToGrid w:val="0"/>
              <w:spacing w:after="0" w:line="240" w:lineRule="auto"/>
              <w:outlineLvl w:val="9"/>
              <w:rPr>
                <w:rFonts w:ascii="仿宋" w:hAnsi="仿宋" w:eastAsia="仿宋"/>
                <w:color w:val="auto"/>
                <w:sz w:val="24"/>
                <w:szCs w:val="24"/>
                <w:highlight w:val="none"/>
              </w:rPr>
            </w:pPr>
          </w:p>
        </w:tc>
        <w:tc>
          <w:tcPr>
            <w:tcW w:w="2891" w:type="dxa"/>
            <w:noWrap w:val="0"/>
            <w:vAlign w:val="top"/>
          </w:tcPr>
          <w:p w14:paraId="293028A4">
            <w:pPr>
              <w:pStyle w:val="6"/>
              <w:snapToGrid w:val="0"/>
              <w:spacing w:after="0" w:line="240" w:lineRule="auto"/>
              <w:outlineLvl w:val="9"/>
              <w:rPr>
                <w:rFonts w:ascii="仿宋" w:hAnsi="仿宋" w:eastAsia="仿宋"/>
                <w:color w:val="auto"/>
                <w:sz w:val="24"/>
                <w:szCs w:val="24"/>
                <w:highlight w:val="none"/>
              </w:rPr>
            </w:pPr>
          </w:p>
        </w:tc>
        <w:tc>
          <w:tcPr>
            <w:tcW w:w="555" w:type="dxa"/>
            <w:noWrap w:val="0"/>
            <w:vAlign w:val="top"/>
          </w:tcPr>
          <w:p w14:paraId="1D8550E7">
            <w:pPr>
              <w:pStyle w:val="6"/>
              <w:snapToGrid w:val="0"/>
              <w:spacing w:after="0" w:line="240" w:lineRule="auto"/>
              <w:outlineLvl w:val="9"/>
              <w:rPr>
                <w:rFonts w:ascii="仿宋" w:hAnsi="仿宋" w:eastAsia="仿宋"/>
                <w:color w:val="auto"/>
                <w:sz w:val="24"/>
                <w:szCs w:val="24"/>
                <w:highlight w:val="none"/>
              </w:rPr>
            </w:pPr>
          </w:p>
        </w:tc>
        <w:tc>
          <w:tcPr>
            <w:tcW w:w="555" w:type="dxa"/>
            <w:noWrap w:val="0"/>
            <w:vAlign w:val="top"/>
          </w:tcPr>
          <w:p w14:paraId="5268905A">
            <w:pPr>
              <w:pStyle w:val="6"/>
              <w:snapToGrid w:val="0"/>
              <w:spacing w:after="0" w:line="240" w:lineRule="auto"/>
              <w:outlineLvl w:val="9"/>
              <w:rPr>
                <w:rFonts w:ascii="仿宋" w:hAnsi="仿宋" w:eastAsia="仿宋"/>
                <w:color w:val="auto"/>
                <w:sz w:val="24"/>
                <w:szCs w:val="24"/>
                <w:highlight w:val="none"/>
              </w:rPr>
            </w:pPr>
          </w:p>
        </w:tc>
        <w:tc>
          <w:tcPr>
            <w:tcW w:w="961" w:type="dxa"/>
            <w:noWrap w:val="0"/>
            <w:vAlign w:val="top"/>
          </w:tcPr>
          <w:p w14:paraId="61B5EBBC">
            <w:pPr>
              <w:pStyle w:val="6"/>
              <w:snapToGrid w:val="0"/>
              <w:spacing w:after="0" w:line="240" w:lineRule="auto"/>
              <w:outlineLvl w:val="9"/>
              <w:rPr>
                <w:rFonts w:ascii="仿宋" w:hAnsi="仿宋" w:eastAsia="仿宋"/>
                <w:color w:val="auto"/>
                <w:sz w:val="24"/>
                <w:szCs w:val="24"/>
                <w:highlight w:val="none"/>
              </w:rPr>
            </w:pPr>
          </w:p>
        </w:tc>
        <w:tc>
          <w:tcPr>
            <w:tcW w:w="1014" w:type="dxa"/>
            <w:noWrap w:val="0"/>
            <w:vAlign w:val="top"/>
          </w:tcPr>
          <w:p w14:paraId="4A52E372">
            <w:pPr>
              <w:pStyle w:val="6"/>
              <w:snapToGrid w:val="0"/>
              <w:spacing w:after="0" w:line="240" w:lineRule="auto"/>
              <w:outlineLvl w:val="9"/>
              <w:rPr>
                <w:rFonts w:ascii="仿宋" w:hAnsi="仿宋" w:eastAsia="仿宋"/>
                <w:color w:val="auto"/>
                <w:sz w:val="24"/>
                <w:szCs w:val="24"/>
                <w:highlight w:val="none"/>
              </w:rPr>
            </w:pPr>
          </w:p>
        </w:tc>
        <w:tc>
          <w:tcPr>
            <w:tcW w:w="1384" w:type="dxa"/>
            <w:noWrap w:val="0"/>
            <w:vAlign w:val="top"/>
          </w:tcPr>
          <w:p w14:paraId="3279D6ED">
            <w:pPr>
              <w:pStyle w:val="6"/>
              <w:snapToGrid w:val="0"/>
              <w:spacing w:after="0" w:line="240" w:lineRule="auto"/>
              <w:outlineLvl w:val="9"/>
              <w:rPr>
                <w:rFonts w:ascii="仿宋" w:hAnsi="仿宋" w:eastAsia="仿宋"/>
                <w:color w:val="auto"/>
                <w:sz w:val="24"/>
                <w:szCs w:val="24"/>
                <w:highlight w:val="none"/>
              </w:rPr>
            </w:pPr>
          </w:p>
        </w:tc>
      </w:tr>
      <w:tr w14:paraId="144E1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84" w:type="dxa"/>
            <w:noWrap w:val="0"/>
            <w:vAlign w:val="top"/>
          </w:tcPr>
          <w:p w14:paraId="5EAFE6F3">
            <w:pPr>
              <w:pStyle w:val="6"/>
              <w:snapToGrid w:val="0"/>
              <w:spacing w:after="0" w:line="240" w:lineRule="auto"/>
              <w:outlineLvl w:val="9"/>
              <w:rPr>
                <w:rFonts w:ascii="仿宋" w:hAnsi="仿宋" w:eastAsia="仿宋"/>
                <w:color w:val="auto"/>
                <w:sz w:val="24"/>
                <w:szCs w:val="24"/>
                <w:highlight w:val="none"/>
              </w:rPr>
            </w:pPr>
          </w:p>
        </w:tc>
        <w:tc>
          <w:tcPr>
            <w:tcW w:w="1426" w:type="dxa"/>
            <w:noWrap w:val="0"/>
            <w:vAlign w:val="top"/>
          </w:tcPr>
          <w:p w14:paraId="5D862695">
            <w:pPr>
              <w:pStyle w:val="6"/>
              <w:snapToGrid w:val="0"/>
              <w:spacing w:after="0" w:line="240" w:lineRule="auto"/>
              <w:outlineLvl w:val="9"/>
              <w:rPr>
                <w:rFonts w:ascii="仿宋" w:hAnsi="仿宋" w:eastAsia="仿宋"/>
                <w:color w:val="auto"/>
                <w:sz w:val="24"/>
                <w:szCs w:val="24"/>
                <w:highlight w:val="none"/>
              </w:rPr>
            </w:pPr>
          </w:p>
        </w:tc>
        <w:tc>
          <w:tcPr>
            <w:tcW w:w="2891" w:type="dxa"/>
            <w:noWrap w:val="0"/>
            <w:vAlign w:val="top"/>
          </w:tcPr>
          <w:p w14:paraId="63A8EA74">
            <w:pPr>
              <w:pStyle w:val="6"/>
              <w:snapToGrid w:val="0"/>
              <w:spacing w:after="0" w:line="240" w:lineRule="auto"/>
              <w:outlineLvl w:val="9"/>
              <w:rPr>
                <w:rFonts w:ascii="仿宋" w:hAnsi="仿宋" w:eastAsia="仿宋"/>
                <w:color w:val="auto"/>
                <w:sz w:val="24"/>
                <w:szCs w:val="24"/>
                <w:highlight w:val="none"/>
              </w:rPr>
            </w:pPr>
          </w:p>
        </w:tc>
        <w:tc>
          <w:tcPr>
            <w:tcW w:w="555" w:type="dxa"/>
            <w:noWrap w:val="0"/>
            <w:vAlign w:val="top"/>
          </w:tcPr>
          <w:p w14:paraId="33D01E15">
            <w:pPr>
              <w:pStyle w:val="6"/>
              <w:snapToGrid w:val="0"/>
              <w:spacing w:after="0" w:line="240" w:lineRule="auto"/>
              <w:outlineLvl w:val="9"/>
              <w:rPr>
                <w:rFonts w:ascii="仿宋" w:hAnsi="仿宋" w:eastAsia="仿宋"/>
                <w:color w:val="auto"/>
                <w:sz w:val="24"/>
                <w:szCs w:val="24"/>
                <w:highlight w:val="none"/>
              </w:rPr>
            </w:pPr>
          </w:p>
        </w:tc>
        <w:tc>
          <w:tcPr>
            <w:tcW w:w="555" w:type="dxa"/>
            <w:noWrap w:val="0"/>
            <w:vAlign w:val="top"/>
          </w:tcPr>
          <w:p w14:paraId="7560411C">
            <w:pPr>
              <w:pStyle w:val="6"/>
              <w:snapToGrid w:val="0"/>
              <w:spacing w:after="0" w:line="240" w:lineRule="auto"/>
              <w:outlineLvl w:val="9"/>
              <w:rPr>
                <w:rFonts w:ascii="仿宋" w:hAnsi="仿宋" w:eastAsia="仿宋"/>
                <w:color w:val="auto"/>
                <w:sz w:val="24"/>
                <w:szCs w:val="24"/>
                <w:highlight w:val="none"/>
              </w:rPr>
            </w:pPr>
          </w:p>
        </w:tc>
        <w:tc>
          <w:tcPr>
            <w:tcW w:w="961" w:type="dxa"/>
            <w:noWrap w:val="0"/>
            <w:vAlign w:val="top"/>
          </w:tcPr>
          <w:p w14:paraId="0DD7B496">
            <w:pPr>
              <w:pStyle w:val="6"/>
              <w:snapToGrid w:val="0"/>
              <w:spacing w:after="0" w:line="240" w:lineRule="auto"/>
              <w:outlineLvl w:val="9"/>
              <w:rPr>
                <w:rFonts w:ascii="仿宋" w:hAnsi="仿宋" w:eastAsia="仿宋"/>
                <w:color w:val="auto"/>
                <w:sz w:val="24"/>
                <w:szCs w:val="24"/>
                <w:highlight w:val="none"/>
              </w:rPr>
            </w:pPr>
          </w:p>
        </w:tc>
        <w:tc>
          <w:tcPr>
            <w:tcW w:w="1014" w:type="dxa"/>
            <w:noWrap w:val="0"/>
            <w:vAlign w:val="top"/>
          </w:tcPr>
          <w:p w14:paraId="46C75156">
            <w:pPr>
              <w:pStyle w:val="6"/>
              <w:snapToGrid w:val="0"/>
              <w:spacing w:after="0" w:line="240" w:lineRule="auto"/>
              <w:outlineLvl w:val="9"/>
              <w:rPr>
                <w:rFonts w:ascii="仿宋" w:hAnsi="仿宋" w:eastAsia="仿宋"/>
                <w:color w:val="auto"/>
                <w:sz w:val="24"/>
                <w:szCs w:val="24"/>
                <w:highlight w:val="none"/>
              </w:rPr>
            </w:pPr>
          </w:p>
        </w:tc>
        <w:tc>
          <w:tcPr>
            <w:tcW w:w="1384" w:type="dxa"/>
            <w:noWrap w:val="0"/>
            <w:vAlign w:val="top"/>
          </w:tcPr>
          <w:p w14:paraId="5DDFC622">
            <w:pPr>
              <w:pStyle w:val="6"/>
              <w:snapToGrid w:val="0"/>
              <w:spacing w:after="0" w:line="240" w:lineRule="auto"/>
              <w:outlineLvl w:val="9"/>
              <w:rPr>
                <w:rFonts w:ascii="仿宋" w:hAnsi="仿宋" w:eastAsia="仿宋"/>
                <w:color w:val="auto"/>
                <w:sz w:val="24"/>
                <w:szCs w:val="24"/>
                <w:highlight w:val="none"/>
              </w:rPr>
            </w:pPr>
          </w:p>
        </w:tc>
      </w:tr>
      <w:tr w14:paraId="4D51A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84" w:type="dxa"/>
            <w:noWrap w:val="0"/>
            <w:vAlign w:val="top"/>
          </w:tcPr>
          <w:p w14:paraId="0E3CDF98">
            <w:pPr>
              <w:pStyle w:val="6"/>
              <w:snapToGrid w:val="0"/>
              <w:spacing w:after="0" w:line="240" w:lineRule="auto"/>
              <w:outlineLvl w:val="9"/>
              <w:rPr>
                <w:rFonts w:ascii="仿宋" w:hAnsi="仿宋" w:eastAsia="仿宋"/>
                <w:color w:val="auto"/>
                <w:sz w:val="24"/>
                <w:szCs w:val="24"/>
                <w:highlight w:val="none"/>
              </w:rPr>
            </w:pPr>
          </w:p>
        </w:tc>
        <w:tc>
          <w:tcPr>
            <w:tcW w:w="1426" w:type="dxa"/>
            <w:noWrap w:val="0"/>
            <w:vAlign w:val="top"/>
          </w:tcPr>
          <w:p w14:paraId="7BFC34A6">
            <w:pPr>
              <w:pStyle w:val="6"/>
              <w:snapToGrid w:val="0"/>
              <w:spacing w:after="0" w:line="240" w:lineRule="auto"/>
              <w:outlineLvl w:val="9"/>
              <w:rPr>
                <w:rFonts w:ascii="仿宋" w:hAnsi="仿宋" w:eastAsia="仿宋"/>
                <w:color w:val="auto"/>
                <w:sz w:val="24"/>
                <w:szCs w:val="24"/>
                <w:highlight w:val="none"/>
              </w:rPr>
            </w:pPr>
          </w:p>
        </w:tc>
        <w:tc>
          <w:tcPr>
            <w:tcW w:w="4962" w:type="dxa"/>
            <w:gridSpan w:val="4"/>
            <w:noWrap w:val="0"/>
            <w:vAlign w:val="top"/>
          </w:tcPr>
          <w:p w14:paraId="3894DF6B">
            <w:pPr>
              <w:pStyle w:val="6"/>
              <w:snapToGrid w:val="0"/>
              <w:spacing w:after="0" w:line="240" w:lineRule="auto"/>
              <w:outlineLvl w:val="9"/>
              <w:rPr>
                <w:rFonts w:ascii="仿宋" w:hAnsi="仿宋" w:eastAsia="仿宋"/>
                <w:color w:val="auto"/>
                <w:sz w:val="24"/>
                <w:szCs w:val="24"/>
                <w:highlight w:val="none"/>
              </w:rPr>
            </w:pPr>
          </w:p>
        </w:tc>
        <w:tc>
          <w:tcPr>
            <w:tcW w:w="1014" w:type="dxa"/>
            <w:noWrap w:val="0"/>
            <w:vAlign w:val="top"/>
          </w:tcPr>
          <w:p w14:paraId="117A8408">
            <w:pPr>
              <w:pStyle w:val="6"/>
              <w:snapToGrid w:val="0"/>
              <w:spacing w:after="0" w:line="240" w:lineRule="auto"/>
              <w:outlineLvl w:val="9"/>
              <w:rPr>
                <w:rFonts w:ascii="仿宋" w:hAnsi="仿宋" w:eastAsia="仿宋"/>
                <w:color w:val="auto"/>
                <w:sz w:val="24"/>
                <w:szCs w:val="24"/>
                <w:highlight w:val="none"/>
              </w:rPr>
            </w:pPr>
          </w:p>
        </w:tc>
        <w:tc>
          <w:tcPr>
            <w:tcW w:w="1384" w:type="dxa"/>
            <w:noWrap w:val="0"/>
            <w:vAlign w:val="top"/>
          </w:tcPr>
          <w:p w14:paraId="41C232CE">
            <w:pPr>
              <w:pStyle w:val="6"/>
              <w:snapToGrid w:val="0"/>
              <w:spacing w:after="0" w:line="240" w:lineRule="auto"/>
              <w:outlineLvl w:val="9"/>
              <w:rPr>
                <w:rFonts w:ascii="仿宋" w:hAnsi="仿宋" w:eastAsia="仿宋"/>
                <w:color w:val="auto"/>
                <w:sz w:val="24"/>
                <w:szCs w:val="24"/>
                <w:highlight w:val="none"/>
              </w:rPr>
            </w:pPr>
          </w:p>
        </w:tc>
      </w:tr>
      <w:tr w14:paraId="1F962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84" w:type="dxa"/>
            <w:noWrap w:val="0"/>
            <w:vAlign w:val="top"/>
          </w:tcPr>
          <w:p w14:paraId="3E8D6C87">
            <w:pPr>
              <w:pStyle w:val="6"/>
              <w:snapToGrid w:val="0"/>
              <w:spacing w:after="0" w:line="240" w:lineRule="auto"/>
              <w:outlineLvl w:val="9"/>
              <w:rPr>
                <w:rFonts w:ascii="仿宋" w:hAnsi="仿宋" w:eastAsia="仿宋"/>
                <w:color w:val="auto"/>
                <w:sz w:val="24"/>
                <w:szCs w:val="24"/>
                <w:highlight w:val="none"/>
              </w:rPr>
            </w:pPr>
          </w:p>
        </w:tc>
        <w:tc>
          <w:tcPr>
            <w:tcW w:w="1426" w:type="dxa"/>
            <w:noWrap w:val="0"/>
            <w:vAlign w:val="top"/>
          </w:tcPr>
          <w:p w14:paraId="2635F36B">
            <w:pPr>
              <w:pStyle w:val="6"/>
              <w:snapToGrid w:val="0"/>
              <w:spacing w:after="0" w:line="240" w:lineRule="auto"/>
              <w:outlineLvl w:val="9"/>
              <w:rPr>
                <w:rFonts w:ascii="仿宋" w:hAnsi="仿宋" w:eastAsia="仿宋"/>
                <w:color w:val="auto"/>
                <w:sz w:val="24"/>
                <w:szCs w:val="24"/>
                <w:highlight w:val="none"/>
              </w:rPr>
            </w:pPr>
          </w:p>
        </w:tc>
        <w:tc>
          <w:tcPr>
            <w:tcW w:w="4962" w:type="dxa"/>
            <w:gridSpan w:val="4"/>
            <w:noWrap w:val="0"/>
            <w:vAlign w:val="top"/>
          </w:tcPr>
          <w:p w14:paraId="48693AB7">
            <w:pPr>
              <w:pStyle w:val="6"/>
              <w:snapToGrid w:val="0"/>
              <w:spacing w:after="0" w:line="240" w:lineRule="auto"/>
              <w:outlineLvl w:val="9"/>
              <w:rPr>
                <w:rFonts w:ascii="仿宋" w:hAnsi="仿宋" w:eastAsia="仿宋"/>
                <w:color w:val="auto"/>
                <w:sz w:val="24"/>
                <w:szCs w:val="24"/>
                <w:highlight w:val="none"/>
              </w:rPr>
            </w:pPr>
          </w:p>
        </w:tc>
        <w:tc>
          <w:tcPr>
            <w:tcW w:w="1014" w:type="dxa"/>
            <w:noWrap w:val="0"/>
            <w:vAlign w:val="top"/>
          </w:tcPr>
          <w:p w14:paraId="7B26E324">
            <w:pPr>
              <w:pStyle w:val="6"/>
              <w:snapToGrid w:val="0"/>
              <w:spacing w:after="0" w:line="240" w:lineRule="auto"/>
              <w:outlineLvl w:val="9"/>
              <w:rPr>
                <w:rFonts w:ascii="仿宋" w:hAnsi="仿宋" w:eastAsia="仿宋"/>
                <w:color w:val="auto"/>
                <w:sz w:val="24"/>
                <w:szCs w:val="24"/>
                <w:highlight w:val="none"/>
              </w:rPr>
            </w:pPr>
          </w:p>
        </w:tc>
        <w:tc>
          <w:tcPr>
            <w:tcW w:w="1384" w:type="dxa"/>
            <w:noWrap w:val="0"/>
            <w:vAlign w:val="top"/>
          </w:tcPr>
          <w:p w14:paraId="615E83B8">
            <w:pPr>
              <w:pStyle w:val="6"/>
              <w:snapToGrid w:val="0"/>
              <w:spacing w:after="0" w:line="240" w:lineRule="auto"/>
              <w:outlineLvl w:val="9"/>
              <w:rPr>
                <w:rFonts w:ascii="仿宋" w:hAnsi="仿宋" w:eastAsia="仿宋"/>
                <w:color w:val="auto"/>
                <w:sz w:val="24"/>
                <w:szCs w:val="24"/>
                <w:highlight w:val="none"/>
              </w:rPr>
            </w:pPr>
          </w:p>
        </w:tc>
      </w:tr>
      <w:tr w14:paraId="2B7E9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84" w:type="dxa"/>
            <w:noWrap w:val="0"/>
            <w:vAlign w:val="top"/>
          </w:tcPr>
          <w:p w14:paraId="5F5750B7">
            <w:pPr>
              <w:pStyle w:val="6"/>
              <w:snapToGrid w:val="0"/>
              <w:spacing w:after="0" w:line="240" w:lineRule="auto"/>
              <w:outlineLvl w:val="9"/>
              <w:rPr>
                <w:rFonts w:ascii="仿宋" w:hAnsi="仿宋" w:eastAsia="仿宋"/>
                <w:color w:val="auto"/>
                <w:sz w:val="24"/>
                <w:szCs w:val="24"/>
                <w:highlight w:val="none"/>
              </w:rPr>
            </w:pPr>
          </w:p>
        </w:tc>
        <w:tc>
          <w:tcPr>
            <w:tcW w:w="1426" w:type="dxa"/>
            <w:noWrap w:val="0"/>
            <w:vAlign w:val="top"/>
          </w:tcPr>
          <w:p w14:paraId="6D7CF0E0">
            <w:pPr>
              <w:pStyle w:val="6"/>
              <w:snapToGrid w:val="0"/>
              <w:spacing w:after="0" w:line="240" w:lineRule="auto"/>
              <w:outlineLvl w:val="9"/>
              <w:rPr>
                <w:rFonts w:ascii="仿宋" w:hAnsi="仿宋" w:eastAsia="仿宋"/>
                <w:color w:val="auto"/>
                <w:sz w:val="24"/>
                <w:szCs w:val="24"/>
                <w:highlight w:val="none"/>
              </w:rPr>
            </w:pPr>
          </w:p>
        </w:tc>
        <w:tc>
          <w:tcPr>
            <w:tcW w:w="4962" w:type="dxa"/>
            <w:gridSpan w:val="4"/>
            <w:noWrap w:val="0"/>
            <w:vAlign w:val="top"/>
          </w:tcPr>
          <w:p w14:paraId="473C869F">
            <w:pPr>
              <w:pStyle w:val="6"/>
              <w:snapToGrid w:val="0"/>
              <w:spacing w:after="0" w:line="240" w:lineRule="auto"/>
              <w:outlineLvl w:val="9"/>
              <w:rPr>
                <w:rFonts w:ascii="仿宋" w:hAnsi="仿宋" w:eastAsia="仿宋"/>
                <w:color w:val="auto"/>
                <w:sz w:val="24"/>
                <w:szCs w:val="24"/>
                <w:highlight w:val="none"/>
              </w:rPr>
            </w:pPr>
          </w:p>
        </w:tc>
        <w:tc>
          <w:tcPr>
            <w:tcW w:w="1014" w:type="dxa"/>
            <w:noWrap w:val="0"/>
            <w:vAlign w:val="top"/>
          </w:tcPr>
          <w:p w14:paraId="291BAD79">
            <w:pPr>
              <w:pStyle w:val="6"/>
              <w:snapToGrid w:val="0"/>
              <w:spacing w:after="0" w:line="240" w:lineRule="auto"/>
              <w:outlineLvl w:val="9"/>
              <w:rPr>
                <w:rFonts w:ascii="仿宋" w:hAnsi="仿宋" w:eastAsia="仿宋"/>
                <w:color w:val="auto"/>
                <w:sz w:val="24"/>
                <w:szCs w:val="24"/>
                <w:highlight w:val="none"/>
              </w:rPr>
            </w:pPr>
          </w:p>
        </w:tc>
        <w:tc>
          <w:tcPr>
            <w:tcW w:w="1384" w:type="dxa"/>
            <w:noWrap w:val="0"/>
            <w:vAlign w:val="top"/>
          </w:tcPr>
          <w:p w14:paraId="058F888A">
            <w:pPr>
              <w:pStyle w:val="6"/>
              <w:snapToGrid w:val="0"/>
              <w:spacing w:after="0" w:line="240" w:lineRule="auto"/>
              <w:outlineLvl w:val="9"/>
              <w:rPr>
                <w:rFonts w:ascii="仿宋" w:hAnsi="仿宋" w:eastAsia="仿宋"/>
                <w:color w:val="auto"/>
                <w:sz w:val="24"/>
                <w:szCs w:val="24"/>
                <w:highlight w:val="none"/>
              </w:rPr>
            </w:pPr>
          </w:p>
        </w:tc>
      </w:tr>
      <w:tr w14:paraId="32D79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84" w:type="dxa"/>
            <w:noWrap w:val="0"/>
            <w:vAlign w:val="top"/>
          </w:tcPr>
          <w:p w14:paraId="2B63CD76">
            <w:pPr>
              <w:pStyle w:val="6"/>
              <w:snapToGrid w:val="0"/>
              <w:spacing w:after="0" w:line="240" w:lineRule="auto"/>
              <w:outlineLvl w:val="9"/>
              <w:rPr>
                <w:rFonts w:ascii="仿宋" w:hAnsi="仿宋" w:eastAsia="仿宋"/>
                <w:color w:val="auto"/>
                <w:sz w:val="24"/>
                <w:szCs w:val="24"/>
                <w:highlight w:val="none"/>
              </w:rPr>
            </w:pPr>
          </w:p>
        </w:tc>
        <w:tc>
          <w:tcPr>
            <w:tcW w:w="1426" w:type="dxa"/>
            <w:noWrap w:val="0"/>
            <w:vAlign w:val="top"/>
          </w:tcPr>
          <w:p w14:paraId="6E8C9876">
            <w:pPr>
              <w:pStyle w:val="6"/>
              <w:snapToGrid w:val="0"/>
              <w:spacing w:after="0" w:line="240" w:lineRule="auto"/>
              <w:outlineLvl w:val="9"/>
              <w:rPr>
                <w:rFonts w:ascii="仿宋" w:hAnsi="仿宋" w:eastAsia="仿宋"/>
                <w:color w:val="auto"/>
                <w:sz w:val="24"/>
                <w:szCs w:val="24"/>
                <w:highlight w:val="none"/>
              </w:rPr>
            </w:pPr>
          </w:p>
        </w:tc>
        <w:tc>
          <w:tcPr>
            <w:tcW w:w="4962" w:type="dxa"/>
            <w:gridSpan w:val="4"/>
            <w:noWrap w:val="0"/>
            <w:vAlign w:val="top"/>
          </w:tcPr>
          <w:p w14:paraId="236C88B3">
            <w:pPr>
              <w:pStyle w:val="6"/>
              <w:snapToGrid w:val="0"/>
              <w:spacing w:after="0" w:line="240" w:lineRule="auto"/>
              <w:outlineLvl w:val="9"/>
              <w:rPr>
                <w:rFonts w:ascii="仿宋" w:hAnsi="仿宋" w:eastAsia="仿宋"/>
                <w:color w:val="auto"/>
                <w:sz w:val="24"/>
                <w:szCs w:val="24"/>
                <w:highlight w:val="none"/>
              </w:rPr>
            </w:pPr>
          </w:p>
        </w:tc>
        <w:tc>
          <w:tcPr>
            <w:tcW w:w="1014" w:type="dxa"/>
            <w:noWrap w:val="0"/>
            <w:vAlign w:val="top"/>
          </w:tcPr>
          <w:p w14:paraId="57F084C4">
            <w:pPr>
              <w:pStyle w:val="6"/>
              <w:snapToGrid w:val="0"/>
              <w:spacing w:after="0" w:line="240" w:lineRule="auto"/>
              <w:outlineLvl w:val="9"/>
              <w:rPr>
                <w:rFonts w:ascii="仿宋" w:hAnsi="仿宋" w:eastAsia="仿宋"/>
                <w:color w:val="auto"/>
                <w:sz w:val="24"/>
                <w:szCs w:val="24"/>
                <w:highlight w:val="none"/>
              </w:rPr>
            </w:pPr>
          </w:p>
        </w:tc>
        <w:tc>
          <w:tcPr>
            <w:tcW w:w="1384" w:type="dxa"/>
            <w:noWrap w:val="0"/>
            <w:vAlign w:val="top"/>
          </w:tcPr>
          <w:p w14:paraId="14A50603">
            <w:pPr>
              <w:pStyle w:val="6"/>
              <w:snapToGrid w:val="0"/>
              <w:spacing w:after="0" w:line="240" w:lineRule="auto"/>
              <w:outlineLvl w:val="9"/>
              <w:rPr>
                <w:rFonts w:ascii="仿宋" w:hAnsi="仿宋" w:eastAsia="仿宋"/>
                <w:color w:val="auto"/>
                <w:sz w:val="24"/>
                <w:szCs w:val="24"/>
                <w:highlight w:val="none"/>
              </w:rPr>
            </w:pPr>
          </w:p>
        </w:tc>
      </w:tr>
      <w:tr w14:paraId="4C73D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84" w:type="dxa"/>
            <w:noWrap w:val="0"/>
            <w:vAlign w:val="top"/>
          </w:tcPr>
          <w:p w14:paraId="47C6DFBB">
            <w:pPr>
              <w:pStyle w:val="6"/>
              <w:snapToGrid w:val="0"/>
              <w:spacing w:after="0" w:line="240" w:lineRule="auto"/>
              <w:outlineLvl w:val="9"/>
              <w:rPr>
                <w:rFonts w:ascii="仿宋" w:hAnsi="仿宋" w:eastAsia="仿宋"/>
                <w:color w:val="auto"/>
                <w:sz w:val="24"/>
                <w:szCs w:val="24"/>
                <w:highlight w:val="none"/>
              </w:rPr>
            </w:pPr>
          </w:p>
        </w:tc>
        <w:tc>
          <w:tcPr>
            <w:tcW w:w="1426" w:type="dxa"/>
            <w:noWrap w:val="0"/>
            <w:vAlign w:val="top"/>
          </w:tcPr>
          <w:p w14:paraId="01DDE204">
            <w:pPr>
              <w:pStyle w:val="6"/>
              <w:snapToGrid w:val="0"/>
              <w:spacing w:after="0" w:line="240" w:lineRule="auto"/>
              <w:outlineLvl w:val="9"/>
              <w:rPr>
                <w:rFonts w:ascii="仿宋" w:hAnsi="仿宋" w:eastAsia="仿宋"/>
                <w:color w:val="auto"/>
                <w:sz w:val="24"/>
                <w:szCs w:val="24"/>
                <w:highlight w:val="none"/>
              </w:rPr>
            </w:pPr>
          </w:p>
        </w:tc>
        <w:tc>
          <w:tcPr>
            <w:tcW w:w="4962" w:type="dxa"/>
            <w:gridSpan w:val="4"/>
            <w:noWrap w:val="0"/>
            <w:vAlign w:val="top"/>
          </w:tcPr>
          <w:p w14:paraId="681ECA11">
            <w:pPr>
              <w:pStyle w:val="6"/>
              <w:snapToGrid w:val="0"/>
              <w:spacing w:after="0" w:line="240" w:lineRule="auto"/>
              <w:outlineLvl w:val="9"/>
              <w:rPr>
                <w:rFonts w:ascii="仿宋" w:hAnsi="仿宋" w:eastAsia="仿宋"/>
                <w:color w:val="auto"/>
                <w:sz w:val="24"/>
                <w:szCs w:val="24"/>
                <w:highlight w:val="none"/>
              </w:rPr>
            </w:pPr>
            <w:r>
              <w:rPr>
                <w:rFonts w:hint="eastAsia" w:ascii="仿宋" w:hAnsi="仿宋" w:eastAsia="仿宋"/>
                <w:color w:val="auto"/>
                <w:sz w:val="24"/>
                <w:szCs w:val="24"/>
                <w:highlight w:val="none"/>
              </w:rPr>
              <w:t>其他</w:t>
            </w:r>
          </w:p>
        </w:tc>
        <w:tc>
          <w:tcPr>
            <w:tcW w:w="1014" w:type="dxa"/>
            <w:noWrap w:val="0"/>
            <w:vAlign w:val="top"/>
          </w:tcPr>
          <w:p w14:paraId="392593EE">
            <w:pPr>
              <w:pStyle w:val="6"/>
              <w:snapToGrid w:val="0"/>
              <w:spacing w:after="0" w:line="240" w:lineRule="auto"/>
              <w:outlineLvl w:val="9"/>
              <w:rPr>
                <w:rFonts w:ascii="仿宋" w:hAnsi="仿宋" w:eastAsia="仿宋"/>
                <w:color w:val="auto"/>
                <w:sz w:val="24"/>
                <w:szCs w:val="24"/>
                <w:highlight w:val="none"/>
              </w:rPr>
            </w:pPr>
          </w:p>
        </w:tc>
        <w:tc>
          <w:tcPr>
            <w:tcW w:w="1384" w:type="dxa"/>
            <w:noWrap w:val="0"/>
            <w:vAlign w:val="top"/>
          </w:tcPr>
          <w:p w14:paraId="4682BC5A">
            <w:pPr>
              <w:pStyle w:val="6"/>
              <w:snapToGrid w:val="0"/>
              <w:spacing w:after="0" w:line="240" w:lineRule="auto"/>
              <w:outlineLvl w:val="9"/>
              <w:rPr>
                <w:rFonts w:ascii="仿宋" w:hAnsi="仿宋" w:eastAsia="仿宋"/>
                <w:color w:val="auto"/>
                <w:sz w:val="24"/>
                <w:szCs w:val="24"/>
                <w:highlight w:val="none"/>
              </w:rPr>
            </w:pPr>
          </w:p>
        </w:tc>
      </w:tr>
      <w:tr w14:paraId="51D43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70" w:type="dxa"/>
            <w:gridSpan w:val="8"/>
            <w:noWrap w:val="0"/>
            <w:vAlign w:val="top"/>
          </w:tcPr>
          <w:p w14:paraId="0BA28747">
            <w:pPr>
              <w:pStyle w:val="6"/>
              <w:snapToGrid w:val="0"/>
              <w:spacing w:after="0" w:line="240" w:lineRule="auto"/>
              <w:outlineLvl w:val="9"/>
              <w:rPr>
                <w:rFonts w:ascii="仿宋" w:hAnsi="仿宋" w:eastAsia="仿宋"/>
                <w:color w:val="auto"/>
                <w:sz w:val="24"/>
                <w:szCs w:val="24"/>
                <w:highlight w:val="none"/>
              </w:rPr>
            </w:pPr>
            <w:r>
              <w:rPr>
                <w:rFonts w:hint="eastAsia" w:ascii="仿宋" w:hAnsi="仿宋" w:eastAsia="仿宋"/>
                <w:color w:val="auto"/>
                <w:sz w:val="24"/>
                <w:szCs w:val="24"/>
                <w:highlight w:val="none"/>
              </w:rPr>
              <w:t>大写：                                           合同价：      元</w:t>
            </w:r>
          </w:p>
        </w:tc>
      </w:tr>
    </w:tbl>
    <w:p w14:paraId="164D87F2">
      <w:pPr>
        <w:outlineLvl w:val="9"/>
        <w:rPr>
          <w:rFonts w:ascii="仿宋" w:hAnsi="仿宋" w:eastAsia="仿宋"/>
          <w:color w:val="auto"/>
          <w:sz w:val="24"/>
          <w:highlight w:val="none"/>
        </w:rPr>
      </w:pPr>
    </w:p>
    <w:p w14:paraId="48E49029">
      <w:pPr>
        <w:outlineLvl w:val="9"/>
        <w:rPr>
          <w:rFonts w:ascii="仿宋" w:hAnsi="仿宋" w:eastAsia="仿宋"/>
          <w:b/>
          <w:color w:val="auto"/>
          <w:szCs w:val="21"/>
          <w:highlight w:val="none"/>
        </w:rPr>
      </w:pPr>
      <w:r>
        <w:rPr>
          <w:rFonts w:hint="eastAsia" w:ascii="仿宋" w:hAnsi="仿宋" w:eastAsia="仿宋"/>
          <w:color w:val="auto"/>
          <w:szCs w:val="21"/>
          <w:highlight w:val="none"/>
        </w:rPr>
        <w:t>注：</w:t>
      </w:r>
    </w:p>
    <w:p w14:paraId="2268BB04">
      <w:pPr>
        <w:outlineLvl w:val="9"/>
        <w:rPr>
          <w:rFonts w:ascii="仿宋" w:hAnsi="仿宋" w:eastAsia="仿宋"/>
          <w:color w:val="auto"/>
          <w:szCs w:val="21"/>
          <w:highlight w:val="none"/>
        </w:rPr>
      </w:pPr>
      <w:r>
        <w:rPr>
          <w:rFonts w:hint="eastAsia" w:ascii="仿宋" w:hAnsi="仿宋" w:eastAsia="仿宋"/>
          <w:color w:val="auto"/>
          <w:szCs w:val="21"/>
          <w:highlight w:val="none"/>
        </w:rPr>
        <w:t>1、此表可以根据需要自行增减行数。</w:t>
      </w:r>
    </w:p>
    <w:p w14:paraId="71A664C4">
      <w:pPr>
        <w:outlineLvl w:val="9"/>
        <w:rPr>
          <w:rFonts w:ascii="仿宋" w:hAnsi="仿宋" w:eastAsia="仿宋"/>
          <w:color w:val="auto"/>
          <w:szCs w:val="21"/>
          <w:highlight w:val="none"/>
        </w:rPr>
      </w:pPr>
      <w:r>
        <w:rPr>
          <w:rFonts w:hint="eastAsia" w:ascii="仿宋" w:hAnsi="仿宋" w:eastAsia="仿宋"/>
          <w:color w:val="auto"/>
          <w:szCs w:val="21"/>
          <w:highlight w:val="none"/>
        </w:rPr>
        <w:t>2、项目如有分包，请各磋商供应商按投报的分包分别列表。</w:t>
      </w:r>
    </w:p>
    <w:p w14:paraId="1395D5A6">
      <w:pPr>
        <w:spacing w:line="500" w:lineRule="exact"/>
        <w:outlineLvl w:val="9"/>
        <w:rPr>
          <w:rFonts w:ascii="仿宋" w:hAnsi="仿宋" w:eastAsia="仿宋" w:cs="Arial"/>
          <w:color w:val="auto"/>
          <w:sz w:val="28"/>
          <w:szCs w:val="28"/>
          <w:highlight w:val="none"/>
        </w:rPr>
      </w:pPr>
      <w:r>
        <w:rPr>
          <w:rFonts w:ascii="仿宋" w:hAnsi="仿宋" w:eastAsia="仿宋"/>
          <w:bCs/>
          <w:color w:val="auto"/>
          <w:sz w:val="28"/>
          <w:szCs w:val="28"/>
          <w:highlight w:val="none"/>
        </w:rPr>
        <w:br w:type="page"/>
      </w:r>
      <w:r>
        <w:rPr>
          <w:rFonts w:hint="eastAsia" w:ascii="仿宋" w:hAnsi="仿宋" w:eastAsia="仿宋"/>
          <w:bCs/>
          <w:color w:val="auto"/>
          <w:sz w:val="28"/>
          <w:szCs w:val="28"/>
          <w:highlight w:val="none"/>
        </w:rPr>
        <w:t>（三）</w:t>
      </w:r>
      <w:r>
        <w:rPr>
          <w:rFonts w:hint="eastAsia" w:ascii="仿宋" w:hAnsi="仿宋" w:eastAsia="仿宋" w:cs="Arial"/>
          <w:color w:val="auto"/>
          <w:sz w:val="28"/>
          <w:szCs w:val="28"/>
          <w:highlight w:val="none"/>
        </w:rPr>
        <w:t>残疾人福利性单位声明函</w:t>
      </w:r>
    </w:p>
    <w:p w14:paraId="47E36FB3">
      <w:pPr>
        <w:jc w:val="center"/>
        <w:outlineLvl w:val="9"/>
        <w:rPr>
          <w:rFonts w:ascii="微软雅黑" w:eastAsia="微软雅黑"/>
          <w:i/>
          <w:color w:val="auto"/>
          <w:sz w:val="36"/>
          <w:szCs w:val="36"/>
          <w:highlight w:val="none"/>
        </w:rPr>
      </w:pPr>
      <w:r>
        <w:rPr>
          <w:rFonts w:hint="eastAsia" w:ascii="微软雅黑" w:eastAsia="微软雅黑"/>
          <w:color w:val="auto"/>
          <w:sz w:val="36"/>
          <w:szCs w:val="36"/>
          <w:highlight w:val="none"/>
        </w:rPr>
        <w:t>残疾人福利性单位声明函</w:t>
      </w:r>
    </w:p>
    <w:p w14:paraId="772A8857">
      <w:pPr>
        <w:spacing w:line="500" w:lineRule="exact"/>
        <w:ind w:firstLine="560" w:firstLineChars="200"/>
        <w:outlineLvl w:val="9"/>
        <w:rPr>
          <w:rFonts w:ascii="仿宋" w:hAnsi="仿宋" w:eastAsia="仿宋"/>
          <w:color w:val="auto"/>
          <w:sz w:val="28"/>
          <w:szCs w:val="28"/>
          <w:highlight w:val="none"/>
        </w:rPr>
      </w:pPr>
    </w:p>
    <w:p w14:paraId="05EA6028">
      <w:pPr>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auto"/>
          <w:sz w:val="28"/>
          <w:szCs w:val="28"/>
          <w:highlight w:val="none"/>
          <w:u w:val="single"/>
          <w:lang w:val="en-US" w:eastAsia="zh-CN"/>
        </w:rPr>
        <w:t>如皋市东陈镇人民政府</w:t>
      </w:r>
      <w:r>
        <w:rPr>
          <w:rFonts w:hint="eastAsia" w:ascii="仿宋" w:hAnsi="仿宋" w:eastAsia="仿宋"/>
          <w:color w:val="auto"/>
          <w:sz w:val="28"/>
          <w:szCs w:val="28"/>
          <w:highlight w:val="none"/>
          <w:u w:val="single"/>
        </w:rPr>
        <w:t>单位</w:t>
      </w:r>
      <w:r>
        <w:rPr>
          <w:rFonts w:hint="eastAsia" w:ascii="仿宋" w:hAnsi="仿宋" w:eastAsia="仿宋"/>
          <w:color w:val="auto"/>
          <w:sz w:val="28"/>
          <w:szCs w:val="28"/>
          <w:highlight w:val="none"/>
        </w:rPr>
        <w:t>的项目编号为</w:t>
      </w:r>
      <w:r>
        <w:rPr>
          <w:rFonts w:hint="eastAsia" w:ascii="仿宋" w:hAnsi="仿宋" w:eastAsia="仿宋"/>
          <w:color w:val="auto"/>
          <w:sz w:val="28"/>
          <w:szCs w:val="28"/>
          <w:highlight w:val="none"/>
          <w:u w:val="single"/>
          <w:lang w:eastAsia="zh-CN"/>
        </w:rPr>
        <w:t>JSZC-320682-NTZJ-C2026-0005</w:t>
      </w:r>
      <w:r>
        <w:rPr>
          <w:rFonts w:hint="eastAsia" w:ascii="仿宋" w:hAnsi="仿宋" w:eastAsia="仿宋"/>
          <w:color w:val="auto"/>
          <w:sz w:val="28"/>
          <w:szCs w:val="28"/>
          <w:highlight w:val="none"/>
          <w:u w:val="single"/>
          <w:lang w:val="en-US" w:eastAsia="zh-CN"/>
        </w:rPr>
        <w:t>的东陈镇2026年生活垃圾转送服务</w:t>
      </w:r>
      <w:r>
        <w:rPr>
          <w:rFonts w:hint="eastAsia" w:ascii="仿宋" w:hAnsi="仿宋" w:eastAsia="仿宋"/>
          <w:color w:val="auto"/>
          <w:sz w:val="28"/>
          <w:szCs w:val="28"/>
          <w:highlight w:val="none"/>
          <w:u w:val="none"/>
        </w:rPr>
        <w:t>的项目</w:t>
      </w:r>
      <w:r>
        <w:rPr>
          <w:rFonts w:hint="eastAsia" w:ascii="仿宋" w:hAnsi="仿宋" w:eastAsia="仿宋"/>
          <w:color w:val="auto"/>
          <w:sz w:val="28"/>
          <w:szCs w:val="28"/>
          <w:highlight w:val="none"/>
        </w:rPr>
        <w:t>采购活动提供本单位制造的货物（由本单位承担工程/提供服务），或者提供其他残疾人福利性单位制造的货物（不包括使用非残疾人福利性单位注册商标的货物）。</w:t>
      </w:r>
    </w:p>
    <w:p w14:paraId="21558EEA">
      <w:pPr>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本单位在本次政府采购活动中提供的残疾人福利单位产品报价合计为人民币（大写）元整（￥：）。</w:t>
      </w:r>
    </w:p>
    <w:p w14:paraId="1061ED69">
      <w:pPr>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本单位对上述声明的真实性负责。如有虚假，将依法承担相应责任。</w:t>
      </w:r>
    </w:p>
    <w:p w14:paraId="7010C819">
      <w:pPr>
        <w:spacing w:line="500" w:lineRule="exact"/>
        <w:ind w:firstLine="560" w:firstLineChars="200"/>
        <w:outlineLvl w:val="9"/>
        <w:rPr>
          <w:rFonts w:ascii="仿宋" w:hAnsi="仿宋" w:eastAsia="仿宋"/>
          <w:color w:val="auto"/>
          <w:sz w:val="28"/>
          <w:szCs w:val="28"/>
          <w:highlight w:val="none"/>
        </w:rPr>
      </w:pPr>
    </w:p>
    <w:p w14:paraId="59334BC5">
      <w:pPr>
        <w:tabs>
          <w:tab w:val="left" w:pos="4860"/>
        </w:tabs>
        <w:spacing w:line="500" w:lineRule="exact"/>
        <w:ind w:right="1560" w:firstLine="560" w:firstLineChars="200"/>
        <w:jc w:val="center"/>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p>
    <w:p w14:paraId="725AB2FD">
      <w:pPr>
        <w:tabs>
          <w:tab w:val="left" w:pos="4860"/>
        </w:tabs>
        <w:spacing w:line="500" w:lineRule="exact"/>
        <w:ind w:right="1560" w:firstLine="560" w:firstLineChars="200"/>
        <w:jc w:val="center"/>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p>
    <w:p w14:paraId="64F03F6E">
      <w:pPr>
        <w:spacing w:line="500" w:lineRule="exact"/>
        <w:ind w:firstLine="560" w:firstLineChars="200"/>
        <w:outlineLvl w:val="9"/>
        <w:rPr>
          <w:rFonts w:ascii="仿宋" w:hAnsi="仿宋" w:eastAsia="仿宋"/>
          <w:color w:val="auto"/>
          <w:sz w:val="28"/>
          <w:szCs w:val="28"/>
          <w:highlight w:val="none"/>
        </w:rPr>
      </w:pPr>
    </w:p>
    <w:p w14:paraId="42E699CB">
      <w:pPr>
        <w:spacing w:line="500" w:lineRule="exact"/>
        <w:ind w:firstLine="560" w:firstLineChars="200"/>
        <w:outlineLvl w:val="9"/>
        <w:rPr>
          <w:rFonts w:ascii="仿宋" w:hAnsi="仿宋" w:eastAsia="仿宋"/>
          <w:color w:val="auto"/>
          <w:sz w:val="28"/>
          <w:szCs w:val="28"/>
          <w:highlight w:val="none"/>
        </w:rPr>
      </w:pPr>
    </w:p>
    <w:p w14:paraId="7AF99625">
      <w:pPr>
        <w:spacing w:line="500" w:lineRule="exact"/>
        <w:ind w:firstLine="562" w:firstLineChars="200"/>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注意：成交供应商提供的《中小企业声明函》、《残疾人福利性单位声明函》将随成交结果同时公告，接受社会监督。</w:t>
      </w:r>
    </w:p>
    <w:p w14:paraId="3E793E18">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r>
    </w:p>
    <w:p w14:paraId="785CBE4F">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w:t>
      </w:r>
      <w:r>
        <w:rPr>
          <w:rFonts w:hint="eastAsia" w:ascii="仿宋" w:hAnsi="仿宋" w:eastAsia="仿宋"/>
          <w:bCs/>
          <w:color w:val="auto"/>
          <w:sz w:val="28"/>
          <w:szCs w:val="28"/>
          <w:highlight w:val="none"/>
          <w:lang w:val="en-US" w:eastAsia="zh-CN"/>
        </w:rPr>
        <w:t>四</w:t>
      </w:r>
      <w:r>
        <w:rPr>
          <w:rFonts w:hint="eastAsia" w:ascii="仿宋" w:hAnsi="仿宋" w:eastAsia="仿宋"/>
          <w:bCs/>
          <w:color w:val="auto"/>
          <w:sz w:val="28"/>
          <w:szCs w:val="28"/>
          <w:highlight w:val="none"/>
        </w:rPr>
        <w:t>）</w:t>
      </w:r>
      <w:r>
        <w:rPr>
          <w:rFonts w:ascii="仿宋" w:hAnsi="仿宋" w:eastAsia="仿宋"/>
          <w:bCs/>
          <w:color w:val="auto"/>
          <w:sz w:val="28"/>
          <w:szCs w:val="28"/>
          <w:highlight w:val="none"/>
        </w:rPr>
        <w:t>关于符合本国产品标准的声明函</w:t>
      </w:r>
      <w:r>
        <w:rPr>
          <w:rFonts w:hint="eastAsia" w:ascii="仿宋" w:hAnsi="仿宋" w:eastAsia="仿宋"/>
          <w:bCs/>
          <w:color w:val="auto"/>
          <w:sz w:val="28"/>
          <w:szCs w:val="28"/>
          <w:highlight w:val="none"/>
        </w:rPr>
        <w:t>（在有进口产品参加的采购项目中，享受本国产品价格扣除优惠的，须提供此函）</w:t>
      </w:r>
    </w:p>
    <w:p w14:paraId="2027F602">
      <w:pPr>
        <w:jc w:val="center"/>
        <w:rPr>
          <w:rFonts w:ascii="方正小标宋简体" w:hAnsi="方正小标宋简体" w:eastAsia="方正小标宋简体"/>
          <w:b/>
          <w:color w:val="auto"/>
          <w:sz w:val="44"/>
          <w:szCs w:val="44"/>
          <w:highlight w:val="none"/>
        </w:rPr>
      </w:pPr>
      <w:r>
        <w:rPr>
          <w:rStyle w:val="19"/>
          <w:rFonts w:ascii="方正小标宋简体" w:hAnsi="方正小标宋简体" w:eastAsia="方正小标宋简体"/>
          <w:color w:val="auto"/>
          <w:sz w:val="44"/>
          <w:szCs w:val="44"/>
          <w:highlight w:val="none"/>
        </w:rPr>
        <w:t>关于符合本国产品标准的声明函</w:t>
      </w:r>
    </w:p>
    <w:p w14:paraId="27EE6FC2">
      <w:pPr>
        <w:spacing w:line="54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本公司（单位）郑重声明，根据《国务院办公厅关于在政府采购中实施本国产品标准及相关政策的通知》（国办发〔2025〕34号）的规定，本公司（单位）提供的以下产品属于本国产品。具体情况如下：</w:t>
      </w:r>
    </w:p>
    <w:p w14:paraId="31EF1E95">
      <w:pPr>
        <w:spacing w:line="54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1.</w:t>
      </w:r>
      <w:r>
        <w:rPr>
          <w:rStyle w:val="21"/>
          <w:rFonts w:hint="eastAsia" w:ascii="仿宋" w:hAnsi="仿宋" w:eastAsia="仿宋"/>
          <w:color w:val="auto"/>
          <w:sz w:val="32"/>
          <w:szCs w:val="32"/>
          <w:highlight w:val="none"/>
        </w:rPr>
        <w:t>（产品名称1）</w:t>
      </w:r>
      <w:r>
        <w:rPr>
          <w:rStyle w:val="21"/>
          <w:rFonts w:hint="eastAsia" w:ascii="仿宋" w:hAnsi="仿宋" w:eastAsia="仿宋"/>
          <w:color w:val="auto"/>
          <w:sz w:val="32"/>
          <w:szCs w:val="32"/>
          <w:highlight w:val="none"/>
          <w:vertAlign w:val="superscript"/>
        </w:rPr>
        <w:t>1</w:t>
      </w:r>
      <w:r>
        <w:rPr>
          <w:rFonts w:hint="eastAsia" w:ascii="仿宋" w:hAnsi="仿宋" w:eastAsia="仿宋"/>
          <w:color w:val="auto"/>
          <w:sz w:val="32"/>
          <w:szCs w:val="32"/>
          <w:highlight w:val="none"/>
        </w:rPr>
        <w:t>，生产厂为</w:t>
      </w:r>
      <w:r>
        <w:rPr>
          <w:rStyle w:val="21"/>
          <w:rFonts w:hint="eastAsia" w:ascii="仿宋" w:hAnsi="仿宋" w:eastAsia="仿宋"/>
          <w:color w:val="auto"/>
          <w:sz w:val="32"/>
          <w:szCs w:val="32"/>
          <w:highlight w:val="none"/>
        </w:rPr>
        <w:t>（厂名）</w:t>
      </w:r>
      <w:r>
        <w:rPr>
          <w:rStyle w:val="21"/>
          <w:rFonts w:hint="eastAsia" w:ascii="仿宋" w:hAnsi="仿宋" w:eastAsia="仿宋"/>
          <w:color w:val="auto"/>
          <w:sz w:val="32"/>
          <w:szCs w:val="32"/>
          <w:highlight w:val="none"/>
          <w:vertAlign w:val="superscript"/>
        </w:rPr>
        <w:t>2</w:t>
      </w:r>
      <w:r>
        <w:rPr>
          <w:rFonts w:hint="eastAsia" w:ascii="仿宋" w:hAnsi="仿宋" w:eastAsia="仿宋"/>
          <w:color w:val="auto"/>
          <w:sz w:val="32"/>
          <w:szCs w:val="32"/>
          <w:highlight w:val="none"/>
        </w:rPr>
        <w:t>，厂址为</w:t>
      </w:r>
      <w:r>
        <w:rPr>
          <w:rStyle w:val="21"/>
          <w:rFonts w:hint="eastAsia" w:ascii="仿宋" w:hAnsi="仿宋" w:eastAsia="仿宋"/>
          <w:color w:val="auto"/>
          <w:sz w:val="32"/>
          <w:szCs w:val="32"/>
          <w:highlight w:val="none"/>
        </w:rPr>
        <w:t>（生产厂址）</w:t>
      </w:r>
      <w:r>
        <w:rPr>
          <w:rFonts w:hint="eastAsia" w:ascii="仿宋" w:hAnsi="仿宋" w:eastAsia="仿宋"/>
          <w:color w:val="auto"/>
          <w:sz w:val="32"/>
          <w:szCs w:val="32"/>
          <w:highlight w:val="none"/>
        </w:rPr>
        <w:t>。</w:t>
      </w:r>
      <w:r>
        <w:rPr>
          <w:rStyle w:val="21"/>
          <w:rFonts w:hint="eastAsia" w:ascii="仿宋" w:hAnsi="仿宋" w:eastAsia="仿宋"/>
          <w:color w:val="auto"/>
          <w:sz w:val="32"/>
          <w:szCs w:val="32"/>
          <w:highlight w:val="none"/>
        </w:rPr>
        <w:t>（产品名称1）</w:t>
      </w:r>
      <w:r>
        <w:rPr>
          <w:rFonts w:hint="eastAsia" w:ascii="仿宋" w:hAnsi="仿宋" w:eastAsia="仿宋"/>
          <w:color w:val="auto"/>
          <w:sz w:val="32"/>
          <w:szCs w:val="32"/>
          <w:highlight w:val="none"/>
        </w:rPr>
        <w:t>的中国境内生产的组件成本占比≥</w:t>
      </w:r>
      <w:r>
        <w:rPr>
          <w:rStyle w:val="21"/>
          <w:rFonts w:hint="eastAsia" w:ascii="仿宋" w:hAnsi="仿宋" w:eastAsia="仿宋"/>
          <w:color w:val="auto"/>
          <w:sz w:val="32"/>
          <w:szCs w:val="32"/>
          <w:highlight w:val="none"/>
        </w:rPr>
        <w:t>（规定比例）</w:t>
      </w:r>
      <w:r>
        <w:rPr>
          <w:rStyle w:val="21"/>
          <w:rFonts w:hint="eastAsia" w:ascii="仿宋" w:hAnsi="仿宋" w:eastAsia="仿宋"/>
          <w:color w:val="auto"/>
          <w:sz w:val="32"/>
          <w:szCs w:val="32"/>
          <w:highlight w:val="none"/>
          <w:vertAlign w:val="superscript"/>
        </w:rPr>
        <w:t>3</w:t>
      </w:r>
      <w:r>
        <w:rPr>
          <w:rFonts w:hint="eastAsia" w:ascii="仿宋" w:hAnsi="仿宋" w:eastAsia="仿宋"/>
          <w:color w:val="auto"/>
          <w:sz w:val="32"/>
          <w:szCs w:val="32"/>
          <w:highlight w:val="none"/>
        </w:rPr>
        <w:t>。</w:t>
      </w:r>
      <w:r>
        <w:rPr>
          <w:rStyle w:val="21"/>
          <w:rFonts w:hint="eastAsia" w:ascii="仿宋" w:hAnsi="仿宋" w:eastAsia="仿宋"/>
          <w:color w:val="auto"/>
          <w:sz w:val="32"/>
          <w:szCs w:val="32"/>
          <w:highlight w:val="none"/>
        </w:rPr>
        <w:t>（产品名称1）</w:t>
      </w:r>
      <w:r>
        <w:rPr>
          <w:rFonts w:hint="eastAsia" w:ascii="仿宋" w:hAnsi="仿宋" w:eastAsia="仿宋"/>
          <w:color w:val="auto"/>
          <w:sz w:val="32"/>
          <w:szCs w:val="32"/>
          <w:highlight w:val="none"/>
        </w:rPr>
        <w:t>的</w:t>
      </w:r>
      <w:r>
        <w:rPr>
          <w:rStyle w:val="21"/>
          <w:rFonts w:hint="eastAsia" w:ascii="仿宋" w:hAnsi="仿宋" w:eastAsia="仿宋"/>
          <w:color w:val="auto"/>
          <w:sz w:val="32"/>
          <w:szCs w:val="32"/>
          <w:highlight w:val="none"/>
        </w:rPr>
        <w:t>（关键组件）</w:t>
      </w:r>
      <w:r>
        <w:rPr>
          <w:rStyle w:val="21"/>
          <w:rFonts w:hint="eastAsia" w:ascii="仿宋" w:hAnsi="仿宋" w:eastAsia="仿宋"/>
          <w:color w:val="auto"/>
          <w:sz w:val="32"/>
          <w:szCs w:val="32"/>
          <w:highlight w:val="none"/>
          <w:vertAlign w:val="superscript"/>
        </w:rPr>
        <w:t>4</w:t>
      </w:r>
      <w:r>
        <w:rPr>
          <w:rFonts w:hint="eastAsia" w:ascii="仿宋" w:hAnsi="仿宋" w:eastAsia="仿宋"/>
          <w:color w:val="auto"/>
          <w:sz w:val="32"/>
          <w:szCs w:val="32"/>
          <w:highlight w:val="none"/>
        </w:rPr>
        <w:t>在中国境内生产。</w:t>
      </w:r>
      <w:r>
        <w:rPr>
          <w:rStyle w:val="21"/>
          <w:rFonts w:hint="eastAsia" w:ascii="仿宋" w:hAnsi="仿宋" w:eastAsia="仿宋"/>
          <w:color w:val="auto"/>
          <w:sz w:val="32"/>
          <w:szCs w:val="32"/>
          <w:highlight w:val="none"/>
        </w:rPr>
        <w:t>（产品名称1）</w:t>
      </w:r>
      <w:r>
        <w:rPr>
          <w:rFonts w:hint="eastAsia" w:ascii="仿宋" w:hAnsi="仿宋" w:eastAsia="仿宋"/>
          <w:color w:val="auto"/>
          <w:sz w:val="32"/>
          <w:szCs w:val="32"/>
          <w:highlight w:val="none"/>
        </w:rPr>
        <w:t>的</w:t>
      </w:r>
      <w:r>
        <w:rPr>
          <w:rStyle w:val="21"/>
          <w:rFonts w:hint="eastAsia" w:ascii="仿宋" w:hAnsi="仿宋" w:eastAsia="仿宋"/>
          <w:color w:val="auto"/>
          <w:sz w:val="32"/>
          <w:szCs w:val="32"/>
          <w:highlight w:val="none"/>
        </w:rPr>
        <w:t>（关键工序）</w:t>
      </w:r>
      <w:r>
        <w:rPr>
          <w:rStyle w:val="21"/>
          <w:rFonts w:hint="eastAsia" w:ascii="仿宋" w:hAnsi="仿宋" w:eastAsia="仿宋"/>
          <w:color w:val="auto"/>
          <w:sz w:val="32"/>
          <w:szCs w:val="32"/>
          <w:highlight w:val="none"/>
          <w:vertAlign w:val="superscript"/>
        </w:rPr>
        <w:t>5</w:t>
      </w:r>
      <w:r>
        <w:rPr>
          <w:rFonts w:hint="eastAsia" w:ascii="仿宋" w:hAnsi="仿宋" w:eastAsia="仿宋"/>
          <w:color w:val="auto"/>
          <w:sz w:val="32"/>
          <w:szCs w:val="32"/>
          <w:highlight w:val="none"/>
        </w:rPr>
        <w:t>在中国境内完成。</w:t>
      </w:r>
    </w:p>
    <w:p w14:paraId="38946565">
      <w:pPr>
        <w:spacing w:line="54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2.</w:t>
      </w:r>
      <w:r>
        <w:rPr>
          <w:rStyle w:val="21"/>
          <w:rFonts w:hint="eastAsia" w:ascii="仿宋" w:hAnsi="仿宋" w:eastAsia="仿宋"/>
          <w:color w:val="auto"/>
          <w:sz w:val="32"/>
          <w:szCs w:val="32"/>
          <w:highlight w:val="none"/>
        </w:rPr>
        <w:t>（产品名称2）</w:t>
      </w:r>
      <w:r>
        <w:rPr>
          <w:rFonts w:hint="eastAsia" w:ascii="仿宋" w:hAnsi="仿宋" w:eastAsia="仿宋"/>
          <w:color w:val="auto"/>
          <w:sz w:val="32"/>
          <w:szCs w:val="32"/>
          <w:highlight w:val="none"/>
        </w:rPr>
        <w:t>，生产厂为</w:t>
      </w:r>
      <w:r>
        <w:rPr>
          <w:rStyle w:val="21"/>
          <w:rFonts w:hint="eastAsia" w:ascii="仿宋" w:hAnsi="仿宋" w:eastAsia="仿宋"/>
          <w:color w:val="auto"/>
          <w:sz w:val="32"/>
          <w:szCs w:val="32"/>
          <w:highlight w:val="none"/>
        </w:rPr>
        <w:t>（厂名）</w:t>
      </w:r>
      <w:r>
        <w:rPr>
          <w:rFonts w:hint="eastAsia" w:ascii="仿宋" w:hAnsi="仿宋" w:eastAsia="仿宋"/>
          <w:color w:val="auto"/>
          <w:sz w:val="32"/>
          <w:szCs w:val="32"/>
          <w:highlight w:val="none"/>
        </w:rPr>
        <w:t>，厂址为</w:t>
      </w:r>
      <w:r>
        <w:rPr>
          <w:rStyle w:val="21"/>
          <w:rFonts w:hint="eastAsia" w:ascii="仿宋" w:hAnsi="仿宋" w:eastAsia="仿宋"/>
          <w:color w:val="auto"/>
          <w:sz w:val="32"/>
          <w:szCs w:val="32"/>
          <w:highlight w:val="none"/>
        </w:rPr>
        <w:t>（生产厂址）</w:t>
      </w:r>
      <w:r>
        <w:rPr>
          <w:rFonts w:hint="eastAsia" w:ascii="仿宋" w:hAnsi="仿宋" w:eastAsia="仿宋"/>
          <w:color w:val="auto"/>
          <w:sz w:val="32"/>
          <w:szCs w:val="32"/>
          <w:highlight w:val="none"/>
        </w:rPr>
        <w:t>。</w:t>
      </w:r>
      <w:r>
        <w:rPr>
          <w:rStyle w:val="21"/>
          <w:rFonts w:hint="eastAsia" w:ascii="仿宋" w:hAnsi="仿宋" w:eastAsia="仿宋"/>
          <w:color w:val="auto"/>
          <w:sz w:val="32"/>
          <w:szCs w:val="32"/>
          <w:highlight w:val="none"/>
        </w:rPr>
        <w:t>（产品名称2）</w:t>
      </w:r>
      <w:r>
        <w:rPr>
          <w:rFonts w:hint="eastAsia" w:ascii="仿宋" w:hAnsi="仿宋" w:eastAsia="仿宋"/>
          <w:color w:val="auto"/>
          <w:sz w:val="32"/>
          <w:szCs w:val="32"/>
          <w:highlight w:val="none"/>
        </w:rPr>
        <w:t>的中国境内生产的组件成本占比≥</w:t>
      </w:r>
      <w:r>
        <w:rPr>
          <w:rStyle w:val="21"/>
          <w:rFonts w:hint="eastAsia" w:ascii="仿宋" w:hAnsi="仿宋" w:eastAsia="仿宋"/>
          <w:color w:val="auto"/>
          <w:sz w:val="32"/>
          <w:szCs w:val="32"/>
          <w:highlight w:val="none"/>
        </w:rPr>
        <w:t>（规定比例）</w:t>
      </w:r>
      <w:r>
        <w:rPr>
          <w:rFonts w:hint="eastAsia" w:ascii="仿宋" w:hAnsi="仿宋" w:eastAsia="仿宋"/>
          <w:color w:val="auto"/>
          <w:sz w:val="32"/>
          <w:szCs w:val="32"/>
          <w:highlight w:val="none"/>
        </w:rPr>
        <w:t>。</w:t>
      </w:r>
      <w:r>
        <w:rPr>
          <w:rStyle w:val="21"/>
          <w:rFonts w:hint="eastAsia" w:ascii="仿宋" w:hAnsi="仿宋" w:eastAsia="仿宋"/>
          <w:color w:val="auto"/>
          <w:sz w:val="32"/>
          <w:szCs w:val="32"/>
          <w:highlight w:val="none"/>
        </w:rPr>
        <w:t>（产品名称2）</w:t>
      </w:r>
      <w:r>
        <w:rPr>
          <w:rFonts w:hint="eastAsia" w:ascii="仿宋" w:hAnsi="仿宋" w:eastAsia="仿宋"/>
          <w:color w:val="auto"/>
          <w:sz w:val="32"/>
          <w:szCs w:val="32"/>
          <w:highlight w:val="none"/>
        </w:rPr>
        <w:t>的</w:t>
      </w:r>
      <w:r>
        <w:rPr>
          <w:rStyle w:val="21"/>
          <w:rFonts w:hint="eastAsia" w:ascii="仿宋" w:hAnsi="仿宋" w:eastAsia="仿宋"/>
          <w:color w:val="auto"/>
          <w:sz w:val="32"/>
          <w:szCs w:val="32"/>
          <w:highlight w:val="none"/>
        </w:rPr>
        <w:t>（关键组件）</w:t>
      </w:r>
      <w:r>
        <w:rPr>
          <w:rFonts w:hint="eastAsia" w:ascii="仿宋" w:hAnsi="仿宋" w:eastAsia="仿宋"/>
          <w:color w:val="auto"/>
          <w:sz w:val="32"/>
          <w:szCs w:val="32"/>
          <w:highlight w:val="none"/>
        </w:rPr>
        <w:t>在中国境内生产。</w:t>
      </w:r>
      <w:r>
        <w:rPr>
          <w:rStyle w:val="21"/>
          <w:rFonts w:hint="eastAsia" w:ascii="仿宋" w:hAnsi="仿宋" w:eastAsia="仿宋"/>
          <w:color w:val="auto"/>
          <w:sz w:val="32"/>
          <w:szCs w:val="32"/>
          <w:highlight w:val="none"/>
        </w:rPr>
        <w:t>（产品名称2）</w:t>
      </w:r>
      <w:r>
        <w:rPr>
          <w:rFonts w:hint="eastAsia" w:ascii="仿宋" w:hAnsi="仿宋" w:eastAsia="仿宋"/>
          <w:color w:val="auto"/>
          <w:sz w:val="32"/>
          <w:szCs w:val="32"/>
          <w:highlight w:val="none"/>
        </w:rPr>
        <w:t>的</w:t>
      </w:r>
      <w:r>
        <w:rPr>
          <w:rStyle w:val="21"/>
          <w:rFonts w:hint="eastAsia" w:ascii="仿宋" w:hAnsi="仿宋" w:eastAsia="仿宋"/>
          <w:color w:val="auto"/>
          <w:sz w:val="32"/>
          <w:szCs w:val="32"/>
          <w:highlight w:val="none"/>
        </w:rPr>
        <w:t>（关键工序）</w:t>
      </w:r>
      <w:r>
        <w:rPr>
          <w:rFonts w:hint="eastAsia" w:ascii="仿宋" w:hAnsi="仿宋" w:eastAsia="仿宋"/>
          <w:color w:val="auto"/>
          <w:sz w:val="32"/>
          <w:szCs w:val="32"/>
          <w:highlight w:val="none"/>
        </w:rPr>
        <w:t>在中国境内完成。</w:t>
      </w:r>
    </w:p>
    <w:p w14:paraId="591AF8A5">
      <w:pPr>
        <w:spacing w:line="54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w:t>
      </w:r>
    </w:p>
    <w:p w14:paraId="5E62C3E2">
      <w:pPr>
        <w:spacing w:line="54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本公司（单位）对上述声明内容的真实性负责。如有虚假，愿承担相应法律责任。</w:t>
      </w:r>
    </w:p>
    <w:p w14:paraId="669FB743">
      <w:pPr>
        <w:spacing w:line="540" w:lineRule="exact"/>
        <w:ind w:firstLine="640" w:firstLineChars="200"/>
        <w:rPr>
          <w:rFonts w:ascii="仿宋" w:hAnsi="仿宋" w:eastAsia="仿宋"/>
          <w:color w:val="auto"/>
          <w:sz w:val="32"/>
          <w:szCs w:val="32"/>
          <w:highlight w:val="none"/>
        </w:rPr>
      </w:pPr>
      <w:r>
        <w:rPr>
          <w:rFonts w:hint="eastAsia" w:ascii="微软雅黑" w:hAnsi="微软雅黑" w:eastAsia="仿宋"/>
          <w:color w:val="auto"/>
          <w:sz w:val="32"/>
          <w:szCs w:val="32"/>
          <w:highlight w:val="none"/>
        </w:rPr>
        <w:t> </w:t>
      </w:r>
    </w:p>
    <w:p w14:paraId="21D5FAC5">
      <w:pPr>
        <w:spacing w:line="540" w:lineRule="exact"/>
        <w:ind w:firstLine="640" w:firstLineChars="200"/>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w:t>
      </w:r>
      <w:r>
        <w:rPr>
          <w:rFonts w:hint="eastAsia" w:ascii="仿宋" w:hAnsi="仿宋" w:eastAsia="仿宋"/>
          <w:color w:val="auto"/>
          <w:sz w:val="32"/>
          <w:szCs w:val="32"/>
          <w:highlight w:val="none"/>
        </w:rPr>
        <w:t>公司（单位）名称（盖章）：　</w:t>
      </w:r>
    </w:p>
    <w:p w14:paraId="3F59550F">
      <w:pPr>
        <w:spacing w:line="540" w:lineRule="exact"/>
        <w:jc w:val="center"/>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w:t>
      </w:r>
      <w:r>
        <w:rPr>
          <w:rFonts w:hint="eastAsia" w:ascii="仿宋" w:hAnsi="仿宋" w:eastAsia="仿宋"/>
          <w:color w:val="auto"/>
          <w:sz w:val="32"/>
          <w:szCs w:val="32"/>
          <w:highlight w:val="none"/>
        </w:rPr>
        <w:t>日期：　</w:t>
      </w:r>
    </w:p>
    <w:p w14:paraId="22665877">
      <w:pPr>
        <w:snapToGrid w:val="0"/>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1.产品如有型号，请在“产品名称”栏一并填写。</w:t>
      </w:r>
    </w:p>
    <w:p w14:paraId="4B1049ED">
      <w:pPr>
        <w:snapToGrid w:val="0"/>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2.生产厂名与厂址应与生产厂营业执照载明的相关信息保持一致。</w:t>
      </w:r>
    </w:p>
    <w:p w14:paraId="5B322569">
      <w:pPr>
        <w:snapToGrid w:val="0"/>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3.该产品的中国境内生产的组件成本占比相关要求实施前，“规定比例”栏可不填，下同。</w:t>
      </w:r>
    </w:p>
    <w:p w14:paraId="6CB20470">
      <w:pPr>
        <w:snapToGrid w:val="0"/>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4.该产品的关键组件要求实施前，“关键组件”栏可不填，下同。</w:t>
      </w:r>
    </w:p>
    <w:p w14:paraId="362D9EA3">
      <w:pPr>
        <w:spacing w:line="500" w:lineRule="exact"/>
        <w:ind w:firstLine="560" w:firstLineChars="200"/>
        <w:rPr>
          <w:color w:val="auto"/>
          <w:highlight w:val="none"/>
        </w:rPr>
      </w:pPr>
      <w:r>
        <w:rPr>
          <w:rFonts w:hint="eastAsia" w:ascii="仿宋" w:hAnsi="仿宋" w:eastAsia="仿宋"/>
          <w:color w:val="auto"/>
          <w:sz w:val="28"/>
          <w:szCs w:val="28"/>
          <w:highlight w:val="none"/>
        </w:rPr>
        <w:t>5.该产品的关键工序要求实施前，“关键工序”栏可不填，下同。</w:t>
      </w:r>
    </w:p>
    <w:sectPr>
      <w:footerReference r:id="rId5" w:type="default"/>
      <w:pgSz w:w="11906" w:h="16838"/>
      <w:pgMar w:top="1418" w:right="1134" w:bottom="1134"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8F24C34-F758-48AD-A069-F93D98489610}"/>
  </w:font>
  <w:font w:name="黑体">
    <w:panose1 w:val="02010609060101010101"/>
    <w:charset w:val="86"/>
    <w:family w:val="auto"/>
    <w:pitch w:val="default"/>
    <w:sig w:usb0="800002BF" w:usb1="38CF7CFA" w:usb2="00000016" w:usb3="00000000" w:csb0="00040001" w:csb1="00000000"/>
    <w:embedRegular r:id="rId2" w:fontKey="{8BA794C8-B0B6-40F1-9E12-EFBA41A5215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仿宋_GB2312">
    <w:panose1 w:val="02010609030101010101"/>
    <w:charset w:val="86"/>
    <w:family w:val="modern"/>
    <w:pitch w:val="default"/>
    <w:sig w:usb0="00000001" w:usb1="080E0000" w:usb2="00000000" w:usb3="00000000" w:csb0="00040000" w:csb1="00000000"/>
    <w:embedRegular r:id="rId3" w:fontKey="{9BBC8ECF-76A4-4FA1-B31F-3688ED21DD67}"/>
  </w:font>
  <w:font w:name="Arial Unicode MS">
    <w:panose1 w:val="020B0604020202020204"/>
    <w:charset w:val="86"/>
    <w:family w:val="auto"/>
    <w:pitch w:val="default"/>
    <w:sig w:usb0="FFFFFFFF" w:usb1="E9FFFFFF" w:usb2="0000003F" w:usb3="00000000" w:csb0="603F01FF" w:csb1="FFFF0000"/>
  </w:font>
  <w:font w:name="方正仿宋_GB2312">
    <w:panose1 w:val="02000000000000000000"/>
    <w:charset w:val="86"/>
    <w:family w:val="auto"/>
    <w:pitch w:val="default"/>
    <w:sig w:usb0="A00002BF" w:usb1="184F6CFA" w:usb2="00000012" w:usb3="00000000" w:csb0="00040001" w:csb1="00000000"/>
  </w:font>
  <w:font w:name="方正小标宋简体">
    <w:panose1 w:val="02000000000000000000"/>
    <w:charset w:val="86"/>
    <w:family w:val="auto"/>
    <w:pitch w:val="default"/>
    <w:sig w:usb0="00000001" w:usb1="08000000" w:usb2="00000000" w:usb3="00000000" w:csb0="00040000" w:csb1="00000000"/>
    <w:embedRegular r:id="rId4" w:fontKey="{E3002B7F-AA47-4889-84CE-4E2CE845981C}"/>
  </w:font>
  <w:font w:name="仿宋">
    <w:panose1 w:val="02010609060101010101"/>
    <w:charset w:val="86"/>
    <w:family w:val="modern"/>
    <w:pitch w:val="default"/>
    <w:sig w:usb0="800002BF" w:usb1="38CF7CFA" w:usb2="00000016" w:usb3="00000000" w:csb0="00040001" w:csb1="00000000"/>
    <w:embedRegular r:id="rId5" w:fontKey="{6E32153A-28FB-457B-882F-D5C65F034D5C}"/>
  </w:font>
  <w:font w:name="微软雅黑">
    <w:panose1 w:val="020B0503020204020204"/>
    <w:charset w:val="86"/>
    <w:family w:val="auto"/>
    <w:pitch w:val="default"/>
    <w:sig w:usb0="80000287" w:usb1="2ACF3C50" w:usb2="00000016" w:usb3="00000000" w:csb0="0004001F" w:csb1="00000000"/>
    <w:embedRegular r:id="rId6" w:fontKey="{A67C28DA-4087-425D-84BA-EEF3AFD0DA92}"/>
  </w:font>
  <w:font w:name="文鼎CS楷体">
    <w:panose1 w:val="02010609010101010101"/>
    <w:charset w:val="86"/>
    <w:family w:val="modern"/>
    <w:pitch w:val="default"/>
    <w:sig w:usb0="00000000" w:usb1="00000000" w:usb2="00000000" w:usb3="00000000" w:csb0="00000000" w:csb1="00000000"/>
    <w:embedRegular r:id="rId7" w:fontKey="{76842DF1-084F-4510-AEF1-91702DE01A05}"/>
  </w:font>
  <w:font w:name="MS Gothic">
    <w:panose1 w:val="020B0609070205080204"/>
    <w:charset w:val="80"/>
    <w:family w:val="modern"/>
    <w:pitch w:val="default"/>
    <w:sig w:usb0="E00002FF" w:usb1="6AC7FDFB" w:usb2="08000012" w:usb3="00000000" w:csb0="4002009F" w:csb1="DFD70000"/>
    <w:embedRegular r:id="rId8" w:fontKey="{766129BD-4E8B-4C93-B863-2BCF4E5EBEDC}"/>
  </w:font>
  <w:font w:name="WPSEMBED15">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691D69">
    <w:pPr>
      <w:pStyle w:val="8"/>
      <w:framePr w:wrap="around" w:vAnchor="text" w:hAnchor="margin" w:xAlign="center" w:y="1"/>
      <w:rPr>
        <w:rStyle w:val="20"/>
      </w:rPr>
    </w:pPr>
    <w:r>
      <w:fldChar w:fldCharType="begin"/>
    </w:r>
    <w:r>
      <w:rPr>
        <w:rStyle w:val="20"/>
      </w:rPr>
      <w:instrText xml:space="preserve">PAGE  </w:instrText>
    </w:r>
    <w:r>
      <w:fldChar w:fldCharType="end"/>
    </w:r>
  </w:p>
  <w:p w14:paraId="677E5C22">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C327C">
    <w:pPr>
      <w:pStyle w:val="8"/>
      <w:framePr w:wrap="around" w:vAnchor="text" w:hAnchor="margin" w:xAlign="center" w:y="1"/>
      <w:rPr>
        <w:rStyle w:val="20"/>
      </w:rPr>
    </w:pPr>
    <w:r>
      <w:fldChar w:fldCharType="begin"/>
    </w:r>
    <w:r>
      <w:rPr>
        <w:rStyle w:val="20"/>
      </w:rPr>
      <w:instrText xml:space="preserve">PAGE  </w:instrText>
    </w:r>
    <w:r>
      <w:fldChar w:fldCharType="separate"/>
    </w:r>
    <w:r>
      <w:rPr>
        <w:rStyle w:val="20"/>
      </w:rPr>
      <w:t>5</w:t>
    </w:r>
    <w:r>
      <w:fldChar w:fldCharType="end"/>
    </w:r>
  </w:p>
  <w:p w14:paraId="7B618BF1">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FBD14">
    <w:pPr>
      <w:pStyle w:val="9"/>
    </w:pPr>
    <w:r>
      <w:rPr>
        <w:rFonts w:hint="eastAsia"/>
      </w:rPr>
      <w:t>如</w:t>
    </w:r>
    <w:r>
      <w:t>皋市政府采购</w:t>
    </w:r>
    <w:r>
      <w:rPr>
        <w:rFonts w:hint="eastAsia"/>
      </w:rPr>
      <w:t>竞争性磋商</w:t>
    </w:r>
    <w: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774DC9"/>
    <w:multiLevelType w:val="singleLevel"/>
    <w:tmpl w:val="B1774DC9"/>
    <w:lvl w:ilvl="0" w:tentative="0">
      <w:start w:val="2"/>
      <w:numFmt w:val="chineseCounting"/>
      <w:suff w:val="nothing"/>
      <w:lvlText w:val="（%1）"/>
      <w:lvlJc w:val="left"/>
      <w:rPr>
        <w:rFonts w:hint="eastAsia"/>
      </w:rPr>
    </w:lvl>
  </w:abstractNum>
  <w:abstractNum w:abstractNumId="1">
    <w:nsid w:val="BF98DCC6"/>
    <w:multiLevelType w:val="singleLevel"/>
    <w:tmpl w:val="BF98DCC6"/>
    <w:lvl w:ilvl="0" w:tentative="0">
      <w:start w:val="6"/>
      <w:numFmt w:val="chineseCounting"/>
      <w:suff w:val="nothing"/>
      <w:lvlText w:val="（%1）"/>
      <w:lvlJc w:val="left"/>
      <w:rPr>
        <w:rFonts w:hint="eastAsia"/>
      </w:rPr>
    </w:lvl>
  </w:abstractNum>
  <w:abstractNum w:abstractNumId="2">
    <w:nsid w:val="D18877A7"/>
    <w:multiLevelType w:val="singleLevel"/>
    <w:tmpl w:val="D18877A7"/>
    <w:lvl w:ilvl="0" w:tentative="0">
      <w:start w:val="2"/>
      <w:numFmt w:val="decimal"/>
      <w:suff w:val="space"/>
      <w:lvlText w:val="%1."/>
      <w:lvlJc w:val="left"/>
    </w:lvl>
  </w:abstractNum>
  <w:abstractNum w:abstractNumId="3">
    <w:nsid w:val="16A32F38"/>
    <w:multiLevelType w:val="multilevel"/>
    <w:tmpl w:val="16A32F38"/>
    <w:lvl w:ilvl="0" w:tentative="0">
      <w:start w:val="1"/>
      <w:numFmt w:val="japaneseCounting"/>
      <w:lvlText w:val="第%1条"/>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6D599E10"/>
    <w:multiLevelType w:val="singleLevel"/>
    <w:tmpl w:val="6D599E10"/>
    <w:lvl w:ilvl="0" w:tentative="0">
      <w:start w:val="10"/>
      <w:numFmt w:val="chineseCounting"/>
      <w:suff w:val="nothing"/>
      <w:lvlText w:val="（%1）"/>
      <w:lvlJc w:val="left"/>
      <w:rPr>
        <w:rFonts w:hint="eastAsia"/>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D4110"/>
    <w:rsid w:val="02CB3485"/>
    <w:rsid w:val="041F1572"/>
    <w:rsid w:val="04747704"/>
    <w:rsid w:val="055E57AB"/>
    <w:rsid w:val="095916C1"/>
    <w:rsid w:val="09B23C11"/>
    <w:rsid w:val="0B6E5916"/>
    <w:rsid w:val="0D517C92"/>
    <w:rsid w:val="12735D64"/>
    <w:rsid w:val="15B531FF"/>
    <w:rsid w:val="1666717F"/>
    <w:rsid w:val="167B0D15"/>
    <w:rsid w:val="16F70EB5"/>
    <w:rsid w:val="171A276C"/>
    <w:rsid w:val="189A0B36"/>
    <w:rsid w:val="19A20D20"/>
    <w:rsid w:val="19D46495"/>
    <w:rsid w:val="1C121203"/>
    <w:rsid w:val="1C163B8C"/>
    <w:rsid w:val="1DE17F1B"/>
    <w:rsid w:val="1F7255CB"/>
    <w:rsid w:val="231240E8"/>
    <w:rsid w:val="244F4C63"/>
    <w:rsid w:val="248513DB"/>
    <w:rsid w:val="25257839"/>
    <w:rsid w:val="252F5001"/>
    <w:rsid w:val="270A253F"/>
    <w:rsid w:val="283E1BB9"/>
    <w:rsid w:val="297229E8"/>
    <w:rsid w:val="2F3A77DF"/>
    <w:rsid w:val="2FA31782"/>
    <w:rsid w:val="3049421C"/>
    <w:rsid w:val="321F7B70"/>
    <w:rsid w:val="32AD3FBC"/>
    <w:rsid w:val="33F66A9F"/>
    <w:rsid w:val="34032240"/>
    <w:rsid w:val="343A0DBF"/>
    <w:rsid w:val="35B93AAE"/>
    <w:rsid w:val="36E763F9"/>
    <w:rsid w:val="38AA2E9A"/>
    <w:rsid w:val="3EBA40D7"/>
    <w:rsid w:val="3EF355AF"/>
    <w:rsid w:val="3F8F64D8"/>
    <w:rsid w:val="3FBE633D"/>
    <w:rsid w:val="40955071"/>
    <w:rsid w:val="44D221E7"/>
    <w:rsid w:val="44D518A7"/>
    <w:rsid w:val="46CB178F"/>
    <w:rsid w:val="494C17BA"/>
    <w:rsid w:val="4B0A4C46"/>
    <w:rsid w:val="4D235598"/>
    <w:rsid w:val="4DEB1802"/>
    <w:rsid w:val="4E1C29D4"/>
    <w:rsid w:val="51A02C10"/>
    <w:rsid w:val="51F93C59"/>
    <w:rsid w:val="52A82BF5"/>
    <w:rsid w:val="52DC5EAA"/>
    <w:rsid w:val="551E511D"/>
    <w:rsid w:val="554E7FCD"/>
    <w:rsid w:val="573256AF"/>
    <w:rsid w:val="589D6B6C"/>
    <w:rsid w:val="5BD1759D"/>
    <w:rsid w:val="5EB86749"/>
    <w:rsid w:val="5EF86CCD"/>
    <w:rsid w:val="618435D0"/>
    <w:rsid w:val="61F31C6F"/>
    <w:rsid w:val="63E47698"/>
    <w:rsid w:val="661011B2"/>
    <w:rsid w:val="67215127"/>
    <w:rsid w:val="674D7A09"/>
    <w:rsid w:val="67591740"/>
    <w:rsid w:val="6A0445F0"/>
    <w:rsid w:val="6A066560"/>
    <w:rsid w:val="6A77114E"/>
    <w:rsid w:val="6B6A5050"/>
    <w:rsid w:val="6CA14A27"/>
    <w:rsid w:val="6D2C27DC"/>
    <w:rsid w:val="6D58514F"/>
    <w:rsid w:val="6DB7128F"/>
    <w:rsid w:val="70894EE8"/>
    <w:rsid w:val="71025602"/>
    <w:rsid w:val="7136051F"/>
    <w:rsid w:val="71E73A75"/>
    <w:rsid w:val="72B303CF"/>
    <w:rsid w:val="73A02030"/>
    <w:rsid w:val="73D55BD8"/>
    <w:rsid w:val="754E7CAE"/>
    <w:rsid w:val="7D733812"/>
    <w:rsid w:val="7DF920B4"/>
    <w:rsid w:val="7E321B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3">
    <w:name w:val="heading 4"/>
    <w:basedOn w:val="1"/>
    <w:next w:val="1"/>
    <w:qFormat/>
    <w:uiPriority w:val="0"/>
    <w:pPr>
      <w:keepNext/>
      <w:jc w:val="center"/>
      <w:outlineLvl w:val="3"/>
    </w:pPr>
    <w:rPr>
      <w:rFonts w:eastAsia="新宋体"/>
      <w:sz w:val="30"/>
      <w:szCs w:val="21"/>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Body Text"/>
    <w:basedOn w:val="1"/>
    <w:next w:val="1"/>
    <w:qFormat/>
    <w:uiPriority w:val="0"/>
    <w:pPr>
      <w:snapToGrid w:val="0"/>
      <w:spacing w:afterAutospacing="0" w:line="360" w:lineRule="auto"/>
      <w:ind w:firstLine="560" w:firstLineChars="200"/>
      <w:jc w:val="left"/>
    </w:pPr>
    <w:rPr>
      <w:rFonts w:ascii="宋体" w:hAnsi="宋体" w:eastAsia="宋体"/>
      <w:sz w:val="24"/>
      <w:szCs w:val="28"/>
    </w:rPr>
  </w:style>
  <w:style w:type="paragraph" w:styleId="6">
    <w:name w:val="Plain Text"/>
    <w:basedOn w:val="1"/>
    <w:qFormat/>
    <w:uiPriority w:val="0"/>
    <w:pPr>
      <w:widowControl/>
      <w:spacing w:after="200" w:line="252" w:lineRule="auto"/>
      <w:jc w:val="left"/>
    </w:pPr>
    <w:rPr>
      <w:rFonts w:ascii="宋体" w:hAnsi="Courier New"/>
      <w:szCs w:val="20"/>
    </w:rPr>
  </w:style>
  <w:style w:type="paragraph" w:styleId="7">
    <w:name w:val="Date"/>
    <w:basedOn w:val="1"/>
    <w:next w:val="1"/>
    <w:qFormat/>
    <w:uiPriority w:val="0"/>
    <w:rPr>
      <w:sz w:val="24"/>
      <w:szCs w:val="20"/>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0"/>
  </w:style>
  <w:style w:type="paragraph" w:styleId="11">
    <w:name w:val="Body Text Indent 3"/>
    <w:basedOn w:val="1"/>
    <w:qFormat/>
    <w:uiPriority w:val="0"/>
    <w:pPr>
      <w:spacing w:after="120"/>
      <w:ind w:left="420" w:leftChars="200"/>
    </w:pPr>
    <w:rPr>
      <w:sz w:val="16"/>
      <w:szCs w:val="16"/>
    </w:rPr>
  </w:style>
  <w:style w:type="paragraph" w:styleId="12">
    <w:name w:val="toc 2"/>
    <w:basedOn w:val="1"/>
    <w:next w:val="1"/>
    <w:qFormat/>
    <w:uiPriority w:val="0"/>
    <w:pPr>
      <w:ind w:left="420" w:leftChars="200"/>
    </w:pPr>
  </w:style>
  <w:style w:type="paragraph" w:styleId="13">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4">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5">
    <w:name w:val="Body Text First Indent"/>
    <w:basedOn w:val="5"/>
    <w:qFormat/>
    <w:uiPriority w:val="99"/>
    <w:pPr>
      <w:spacing w:line="360" w:lineRule="auto"/>
      <w:ind w:firstLine="200" w:firstLineChars="200"/>
    </w:pPr>
    <w:rPr>
      <w:rFonts w:ascii="仿宋_GB2312" w:eastAsia="仿宋_GB2312"/>
      <w:sz w:val="30"/>
      <w:szCs w:val="30"/>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0"/>
    <w:rPr>
      <w:b/>
    </w:rPr>
  </w:style>
  <w:style w:type="character" w:styleId="20">
    <w:name w:val="page number"/>
    <w:basedOn w:val="18"/>
    <w:qFormat/>
    <w:uiPriority w:val="0"/>
  </w:style>
  <w:style w:type="character" w:styleId="21">
    <w:name w:val="Emphasis"/>
    <w:basedOn w:val="18"/>
    <w:qFormat/>
    <w:uiPriority w:val="20"/>
    <w:rPr>
      <w:i/>
      <w:iCs/>
    </w:rPr>
  </w:style>
  <w:style w:type="character" w:styleId="22">
    <w:name w:val="Hyperlink"/>
    <w:basedOn w:val="18"/>
    <w:qFormat/>
    <w:uiPriority w:val="0"/>
    <w:rPr>
      <w:color w:val="0000FF"/>
      <w:u w:val="single"/>
    </w:rPr>
  </w:style>
  <w:style w:type="paragraph" w:customStyle="1" w:styleId="23">
    <w:name w:val="style4"/>
    <w:basedOn w:val="1"/>
    <w:next w:val="24"/>
    <w:qFormat/>
    <w:uiPriority w:val="0"/>
    <w:pPr>
      <w:widowControl/>
      <w:spacing w:before="100" w:beforeAutospacing="1" w:after="100" w:afterAutospacing="1"/>
      <w:jc w:val="left"/>
    </w:pPr>
    <w:rPr>
      <w:rFonts w:ascii="Arial Unicode MS" w:hAnsi="Arial Unicode MS" w:eastAsia="Arial Unicode MS" w:cs="Arial Unicode MS"/>
      <w:color w:val="0000FF"/>
      <w:sz w:val="20"/>
    </w:rPr>
  </w:style>
  <w:style w:type="paragraph" w:customStyle="1" w:styleId="24">
    <w:name w:val="2"/>
    <w:next w:val="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5">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6">
    <w:name w:val="*正文"/>
    <w:basedOn w:val="1"/>
    <w:qFormat/>
    <w:uiPriority w:val="99"/>
    <w:pPr>
      <w:snapToGrid w:val="0"/>
      <w:spacing w:line="360" w:lineRule="auto"/>
      <w:ind w:firstLine="482"/>
      <w:textAlignment w:val="auto"/>
    </w:pPr>
    <w:rPr>
      <w:rFonts w:eastAsia="仿宋_GB2312"/>
      <w:sz w:val="28"/>
    </w:rPr>
  </w:style>
  <w:style w:type="character" w:customStyle="1" w:styleId="27">
    <w:name w:val="font11"/>
    <w:basedOn w:val="18"/>
    <w:qFormat/>
    <w:uiPriority w:val="0"/>
    <w:rPr>
      <w:rFonts w:hint="eastAsia" w:ascii="方正仿宋_GB2312" w:hAnsi="方正仿宋_GB2312" w:eastAsia="方正仿宋_GB2312" w:cs="方正仿宋_GB2312"/>
      <w:color w:val="000000"/>
      <w:sz w:val="20"/>
      <w:szCs w:val="20"/>
      <w:u w:val="none"/>
    </w:rPr>
  </w:style>
  <w:style w:type="character" w:customStyle="1" w:styleId="28">
    <w:name w:val="font61"/>
    <w:basedOn w:val="18"/>
    <w:qFormat/>
    <w:uiPriority w:val="0"/>
    <w:rPr>
      <w:rFonts w:hint="eastAsia" w:ascii="方正仿宋_GB2312" w:hAnsi="方正仿宋_GB2312" w:eastAsia="方正仿宋_GB2312" w:cs="方正仿宋_GB2312"/>
      <w:color w:val="000000"/>
      <w:sz w:val="20"/>
      <w:szCs w:val="20"/>
      <w:u w:val="none"/>
    </w:rPr>
  </w:style>
  <w:style w:type="character" w:customStyle="1" w:styleId="29">
    <w:name w:val="font71"/>
    <w:basedOn w:val="18"/>
    <w:qFormat/>
    <w:uiPriority w:val="0"/>
    <w:rPr>
      <w:rFonts w:hint="default" w:ascii="Times New Roman" w:hAnsi="Times New Roman" w:cs="Times New Roman"/>
      <w:color w:val="000000"/>
      <w:sz w:val="20"/>
      <w:szCs w:val="20"/>
      <w:u w:val="none"/>
    </w:rPr>
  </w:style>
  <w:style w:type="paragraph" w:customStyle="1" w:styleId="30">
    <w:name w:val="首行缩进"/>
    <w:basedOn w:val="1"/>
    <w:qFormat/>
    <w:uiPriority w:val="0"/>
    <w:pPr>
      <w:ind w:firstLine="480"/>
      <w:jc w:val="left"/>
    </w:pPr>
    <w:rPr>
      <w:rFonts w:ascii="宋体" w:hAnsi="宋体"/>
    </w:rPr>
  </w:style>
  <w:style w:type="paragraph" w:customStyle="1" w:styleId="31">
    <w:name w:val="Char1"/>
    <w:basedOn w:val="1"/>
    <w:qFormat/>
    <w:uiPriority w:val="0"/>
    <w:pPr>
      <w:tabs>
        <w:tab w:val="left" w:pos="360"/>
      </w:tabs>
    </w:pPr>
    <w:rPr>
      <w:color w:val="000000"/>
      <w:sz w:val="24"/>
    </w:rPr>
  </w:style>
  <w:style w:type="paragraph" w:customStyle="1" w:styleId="32">
    <w:name w:val="正文1"/>
    <w:basedOn w:val="1"/>
    <w:qFormat/>
    <w:uiPriority w:val="0"/>
    <w:pPr>
      <w:spacing w:line="360" w:lineRule="auto"/>
      <w:ind w:firstLine="361"/>
    </w:pPr>
    <w:rPr>
      <w:rFonts w:ascii="宋体" w:hAnsi="宋体" w:eastAsia="仿宋_GB2312"/>
    </w:rPr>
  </w:style>
  <w:style w:type="paragraph" w:customStyle="1" w:styleId="33">
    <w:name w:val="正文文本111"/>
    <w:basedOn w:val="1"/>
    <w:next w:val="1"/>
    <w:qFormat/>
    <w:uiPriority w:val="0"/>
    <w:pPr>
      <w:spacing w:after="120"/>
    </w:pPr>
    <w:rPr>
      <w:sz w:val="28"/>
    </w:rPr>
  </w:style>
  <w:style w:type="character" w:customStyle="1" w:styleId="34">
    <w:name w:val="NormalCharacter"/>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72</Pages>
  <Words>19550</Words>
  <Characters>21346</Characters>
  <Lines>0</Lines>
  <Paragraphs>0</Paragraphs>
  <TotalTime>11</TotalTime>
  <ScaleCrop>false</ScaleCrop>
  <LinksUpToDate>false</LinksUpToDate>
  <CharactersWithSpaces>21668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2023-07-21T03:14:00Z</dcterms:created>
  <dc:creator>Administrator</dc:creator>
  <cp:lastModifiedBy>魏小美</cp:lastModifiedBy>
  <cp:lastPrinted>2026-01-22T09:10:00Z</cp:lastPrinted>
  <dcterms:modified xsi:type="dcterms:W3CDTF">2026-05-29T01:47:08Z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DFF0EC0766C744458B5B9E553896F8C6_13</vt:lpwstr>
  </property>
  <property fmtid="{D5CDD505-2E9C-101B-9397-08002B2CF9AE}" pid="4" name="KSOTemplateDocerSaveRecord">
    <vt:lpwstr>eyJoZGlkIjoiOThhMGNlYjM2NDI3M2Y3ZjdjNmFiMTAwZmE0NDcwMTQiLCJ1c2VySWQiOiI2MzQ3ODY4MTAifQ==</vt:lpwstr>
  </property>
</Properties>
</file>